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Small Group Strategy: 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Rubric to chart and celebrate growth to Proficiency and beyond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3"/>
        <w:gridCol w:w="2233"/>
        <w:gridCol w:w="1205"/>
        <w:gridCol w:w="1315"/>
        <w:gridCol w:w="2364"/>
        <w:gridCol w:w="1866"/>
        <w:tblGridChange w:id="0">
          <w:tblGrid>
            <w:gridCol w:w="1813"/>
            <w:gridCol w:w="2233"/>
            <w:gridCol w:w="1205"/>
            <w:gridCol w:w="1315"/>
            <w:gridCol w:w="2364"/>
            <w:gridCol w:w="1866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  <w:rtl w:val="0"/>
              </w:rPr>
              <w:t xml:space="preserve">Criteria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  <w:rtl w:val="0"/>
              </w:rPr>
              <w:t xml:space="preserve">Distinguished</w:t>
            </w:r>
          </w:p>
        </w:tc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  <w:rtl w:val="0"/>
              </w:rPr>
              <w:t xml:space="preserve">Proficient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  <w:rtl w:val="0"/>
              </w:rPr>
              <w:t xml:space="preserve">Developing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223344"/>
                <w:sz w:val="28"/>
                <w:szCs w:val="28"/>
                <w:rtl w:val="0"/>
              </w:rPr>
              <w:t xml:space="preserve">Emerging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rtl w:val="0"/>
              </w:rPr>
              <w:t xml:space="preserve">Determining Main Idea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accurately determine the main idea of the text and provide a clear and concise explanation of how the key details support it.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determine the main idea of the text and provide an explanation of how the key details support it, although some clarity or conciseness may be lacking.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determine the main idea of the text, but my explanation of how the key details support it is incomplete or unclear.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inaccurately determine the main idea of the text or do not explain how the key details support it.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rtl w:val="0"/>
              </w:rPr>
              <w:t xml:space="preserve">Recounting Key Details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effectively recount the key details of the text in a sequential and organized manner.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recount the key details of the text in a mostly sequential and organized manner but may contain minor inaccuracies or omissions.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recount some of the key details of the text but lack organization or coherence.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do not effectively recount the key details of the text.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rtl w:val="0"/>
              </w:rPr>
              <w:t xml:space="preserve">Paraphrasing Key Details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skillfully paraphrase the key details of the text using different words or phrases that accurately convey the meaning.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paraphrase the key details of text using different words or phrases, but I may occasionally rely on direct copying or miss some important elements.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attempt to paraphrase the key details of the text, but often I resort to direct copying or do not fully capture the meaning.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do not effectively paraphrase the key details of the text.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rtl w:val="0"/>
              </w:rPr>
              <w:t xml:space="preserve">Supporting the Main Idea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provide a thorough explanation of how the key details support the main idea, using specific examples and evidence from the text.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provide an explanation of how the key details support the main idea but may lack some specificity in examples or evidence.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attempt to explain how the key details support the main idea but lack clarity or do not provide sufficient examples/evidence.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33333"/>
                <w:sz w:val="22"/>
                <w:szCs w:val="22"/>
                <w:rtl w:val="0"/>
              </w:rPr>
              <w:t xml:space="preserve">I do not effectively explain how the key details support the main idea.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432ff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things I know? Explain.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my opportunities? Explain.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432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hort Stack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