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AEDC7" w14:textId="77777777" w:rsidR="00506A82" w:rsidRDefault="00000000">
      <w:pPr>
        <w:rPr>
          <w:rFonts w:ascii="Century Gothic" w:eastAsia="Century Gothic" w:hAnsi="Century Gothic" w:cs="Century Gothic"/>
          <w:b/>
          <w:sz w:val="32"/>
          <w:szCs w:val="32"/>
        </w:rPr>
      </w:pP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Lesson Review </w:t>
      </w:r>
      <w:r>
        <w:rPr>
          <w:rFonts w:ascii="Century Gothic" w:eastAsia="Century Gothic" w:hAnsi="Century Gothic" w:cs="Century Gothic"/>
          <w:b/>
          <w:i/>
          <w:color w:val="7030A0"/>
          <w:sz w:val="32"/>
          <w:szCs w:val="32"/>
        </w:rPr>
        <w:t>Suggestions</w:t>
      </w:r>
      <w:r>
        <w:rPr>
          <w:rFonts w:ascii="Century Gothic" w:eastAsia="Century Gothic" w:hAnsi="Century Gothic" w:cs="Century Gothic"/>
          <w:b/>
          <w:sz w:val="32"/>
          <w:szCs w:val="32"/>
        </w:rPr>
        <w:t xml:space="preserve"> to Provide Purposeful Feedback</w:t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sz w:val="32"/>
          <w:szCs w:val="32"/>
        </w:rPr>
        <w:tab/>
      </w:r>
      <w:r>
        <w:rPr>
          <w:rFonts w:ascii="Century Gothic" w:eastAsia="Century Gothic" w:hAnsi="Century Gothic" w:cs="Century Gothic"/>
          <w:b/>
          <w:color w:val="0432FF"/>
          <w:sz w:val="32"/>
          <w:szCs w:val="32"/>
        </w:rPr>
        <w:t>DRAFT</w:t>
      </w:r>
    </w:p>
    <w:p w14:paraId="7180E69F" w14:textId="77777777" w:rsidR="00506A82" w:rsidRDefault="00506A82">
      <w:pPr>
        <w:rPr>
          <w:rFonts w:ascii="Century Gothic" w:eastAsia="Century Gothic" w:hAnsi="Century Gothic" w:cs="Century Gothic"/>
          <w:b/>
          <w:sz w:val="6"/>
          <w:szCs w:val="6"/>
        </w:rPr>
      </w:pPr>
    </w:p>
    <w:tbl>
      <w:tblPr>
        <w:tblStyle w:val="a"/>
        <w:tblW w:w="1440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25"/>
        <w:gridCol w:w="405"/>
        <w:gridCol w:w="330"/>
        <w:gridCol w:w="375"/>
        <w:gridCol w:w="4065"/>
      </w:tblGrid>
      <w:tr w:rsidR="00506A82" w14:paraId="5764952E" w14:textId="77777777">
        <w:tc>
          <w:tcPr>
            <w:tcW w:w="9225" w:type="dxa"/>
            <w:shd w:val="clear" w:color="auto" w:fill="F2F2F2"/>
            <w:vAlign w:val="center"/>
          </w:tcPr>
          <w:p w14:paraId="791C6136" w14:textId="77777777" w:rsidR="00506A82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Indicator</w:t>
            </w:r>
          </w:p>
        </w:tc>
        <w:tc>
          <w:tcPr>
            <w:tcW w:w="405" w:type="dxa"/>
            <w:shd w:val="clear" w:color="auto" w:fill="F2F2F2"/>
            <w:vAlign w:val="center"/>
          </w:tcPr>
          <w:p w14:paraId="50CA53C5" w14:textId="77777777" w:rsidR="00506A82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+</w:t>
            </w:r>
          </w:p>
        </w:tc>
        <w:tc>
          <w:tcPr>
            <w:tcW w:w="330" w:type="dxa"/>
            <w:shd w:val="clear" w:color="auto" w:fill="F2F2F2"/>
            <w:vAlign w:val="center"/>
          </w:tcPr>
          <w:p w14:paraId="7CFC8FD8" w14:textId="77777777" w:rsidR="00506A82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375" w:type="dxa"/>
            <w:shd w:val="clear" w:color="auto" w:fill="F2F2F2"/>
            <w:vAlign w:val="center"/>
          </w:tcPr>
          <w:p w14:paraId="0027452A" w14:textId="77777777" w:rsidR="00506A82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?</w:t>
            </w:r>
          </w:p>
        </w:tc>
        <w:tc>
          <w:tcPr>
            <w:tcW w:w="4065" w:type="dxa"/>
            <w:shd w:val="clear" w:color="auto" w:fill="F2F2F2"/>
            <w:vAlign w:val="center"/>
          </w:tcPr>
          <w:p w14:paraId="7D94FAC0" w14:textId="77777777" w:rsidR="00506A82" w:rsidRDefault="00000000">
            <w:pPr>
              <w:jc w:val="center"/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28"/>
                <w:szCs w:val="28"/>
              </w:rPr>
              <w:t>Notes</w:t>
            </w:r>
          </w:p>
        </w:tc>
      </w:tr>
      <w:tr w:rsidR="00506A82" w14:paraId="42D8F149" w14:textId="77777777">
        <w:tc>
          <w:tcPr>
            <w:tcW w:w="9225" w:type="dxa"/>
          </w:tcPr>
          <w:p w14:paraId="48BBF07C" w14:textId="77777777" w:rsidR="00506A82" w:rsidRDefault="00000000">
            <w:pP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The lesson focus reflects unpacked standard(s).                                                                Lesson components include (knowledge, skills, and vocabulary):</w:t>
            </w:r>
          </w:p>
        </w:tc>
        <w:tc>
          <w:tcPr>
            <w:tcW w:w="405" w:type="dxa"/>
          </w:tcPr>
          <w:p w14:paraId="6D0598AA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0ABEA6E0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4F148F41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62C88D13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6841F93A" w14:textId="77777777">
        <w:tc>
          <w:tcPr>
            <w:tcW w:w="9225" w:type="dxa"/>
          </w:tcPr>
          <w:p w14:paraId="17AD6021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checking for/build background knowledge prior to new learning </w:t>
            </w:r>
          </w:p>
        </w:tc>
        <w:tc>
          <w:tcPr>
            <w:tcW w:w="405" w:type="dxa"/>
          </w:tcPr>
          <w:p w14:paraId="714D86F6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463F7551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0B847820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740112FA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14E970DD" w14:textId="77777777">
        <w:tc>
          <w:tcPr>
            <w:tcW w:w="9225" w:type="dxa"/>
          </w:tcPr>
          <w:p w14:paraId="46032260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clear learning intentions/success criteria aligned to the unpacked standard that will be shared with students and used for refocusing and reflection</w:t>
            </w:r>
          </w:p>
        </w:tc>
        <w:tc>
          <w:tcPr>
            <w:tcW w:w="405" w:type="dxa"/>
          </w:tcPr>
          <w:p w14:paraId="014AA3D5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277BC586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5255606D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30610429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4A7D38BE" w14:textId="77777777">
        <w:tc>
          <w:tcPr>
            <w:tcW w:w="9225" w:type="dxa"/>
          </w:tcPr>
          <w:p w14:paraId="5A9B8B33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integration of essential vocabulary that fosters each student describing, applying, and writing accurately with the terminology</w:t>
            </w:r>
          </w:p>
        </w:tc>
        <w:tc>
          <w:tcPr>
            <w:tcW w:w="405" w:type="dxa"/>
          </w:tcPr>
          <w:p w14:paraId="1C381738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2EDF8434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4FDF95F5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4F88B464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0B1D6383" w14:textId="77777777">
        <w:tc>
          <w:tcPr>
            <w:tcW w:w="9225" w:type="dxa"/>
          </w:tcPr>
          <w:p w14:paraId="40F6B7C0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open-ended questions and second questions that guide students to develop conceptual understandings rather than being ‘told’</w:t>
            </w:r>
          </w:p>
        </w:tc>
        <w:tc>
          <w:tcPr>
            <w:tcW w:w="405" w:type="dxa"/>
          </w:tcPr>
          <w:p w14:paraId="53F41BB6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56D80296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37E81CCB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5EA56B97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26E3AD04" w14:textId="77777777">
        <w:tc>
          <w:tcPr>
            <w:tcW w:w="9225" w:type="dxa"/>
          </w:tcPr>
          <w:p w14:paraId="017F6266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evidence of moving students from concrete discovery to representational expression to abstract synthesizing</w:t>
            </w:r>
          </w:p>
        </w:tc>
        <w:tc>
          <w:tcPr>
            <w:tcW w:w="405" w:type="dxa"/>
          </w:tcPr>
          <w:p w14:paraId="0EEE9350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719616A3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25EF67DC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6C702FB9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79BDCDC7" w14:textId="77777777">
        <w:tc>
          <w:tcPr>
            <w:tcW w:w="9225" w:type="dxa"/>
          </w:tcPr>
          <w:p w14:paraId="07714002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student engagement that involves opportunities for equal participation), reasoning, communicating, critical thinking, collaboration, making conceptual connections; and creativity</w:t>
            </w:r>
          </w:p>
        </w:tc>
        <w:tc>
          <w:tcPr>
            <w:tcW w:w="405" w:type="dxa"/>
          </w:tcPr>
          <w:p w14:paraId="1EB14021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10F5FCB2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47EBEFD0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415BCC6A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33F12DB1" w14:textId="77777777">
        <w:tc>
          <w:tcPr>
            <w:tcW w:w="9225" w:type="dxa"/>
          </w:tcPr>
          <w:p w14:paraId="018C523E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interactive archiving of essential concepts that include an exemplar and sufficient practice for pairs and individuals *resource alert: (consider developing a bank of ‘cousin items’)</w:t>
            </w:r>
          </w:p>
        </w:tc>
        <w:tc>
          <w:tcPr>
            <w:tcW w:w="405" w:type="dxa"/>
          </w:tcPr>
          <w:p w14:paraId="7F3BCD3E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343DB09F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3DAD94C2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4730BDE1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6AECE621" w14:textId="77777777">
        <w:tc>
          <w:tcPr>
            <w:tcW w:w="9225" w:type="dxa"/>
          </w:tcPr>
          <w:p w14:paraId="4672A7AE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multiple checks along-the-way to encourage each student to try, inform teacher (in-the-minute) instructional decisions</w:t>
            </w:r>
            <w:r>
              <w:rPr>
                <w:rFonts w:ascii="Century Gothic" w:eastAsia="Century Gothic" w:hAnsi="Century Gothic" w:cs="Century Gothic"/>
              </w:rPr>
              <w:t>,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facilitate student reflection</w:t>
            </w:r>
          </w:p>
        </w:tc>
        <w:tc>
          <w:tcPr>
            <w:tcW w:w="405" w:type="dxa"/>
          </w:tcPr>
          <w:p w14:paraId="3797A9E2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505D1D9D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1F45FA10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5A96EC1C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1399BEA2" w14:textId="77777777">
        <w:tc>
          <w:tcPr>
            <w:tcW w:w="9225" w:type="dxa"/>
          </w:tcPr>
          <w:p w14:paraId="1D4578C6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sufficient time for each student to summarize what was understood and what requires spiraling</w:t>
            </w:r>
          </w:p>
        </w:tc>
        <w:tc>
          <w:tcPr>
            <w:tcW w:w="405" w:type="dxa"/>
          </w:tcPr>
          <w:p w14:paraId="0D371648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155E6D2C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628F007B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2312642C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  <w:tr w:rsidR="00506A82" w14:paraId="4969BB06" w14:textId="77777777">
        <w:tc>
          <w:tcPr>
            <w:tcW w:w="9225" w:type="dxa"/>
          </w:tcPr>
          <w:p w14:paraId="0C330DBE" w14:textId="77777777" w:rsidR="00506A82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4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data-driven small group work to move students from ‘where they are’ to emerging, developing, proficient, distinguished</w:t>
            </w:r>
          </w:p>
        </w:tc>
        <w:tc>
          <w:tcPr>
            <w:tcW w:w="405" w:type="dxa"/>
          </w:tcPr>
          <w:p w14:paraId="1DA2F10A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30" w:type="dxa"/>
          </w:tcPr>
          <w:p w14:paraId="0F05DD42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375" w:type="dxa"/>
          </w:tcPr>
          <w:p w14:paraId="6F05F189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  <w:tc>
          <w:tcPr>
            <w:tcW w:w="4065" w:type="dxa"/>
          </w:tcPr>
          <w:p w14:paraId="520FF653" w14:textId="77777777" w:rsidR="00506A82" w:rsidRDefault="00506A82">
            <w:pPr>
              <w:spacing w:line="276" w:lineRule="auto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</w:p>
        </w:tc>
      </w:tr>
    </w:tbl>
    <w:p w14:paraId="7838AC18" w14:textId="77777777" w:rsidR="00506A82" w:rsidRDefault="00000000">
      <w:pPr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Possible resources include but not limited to: </w:t>
      </w:r>
    </w:p>
    <w:p w14:paraId="312F0988" w14:textId="77777777" w:rsidR="00506A82" w:rsidRDefault="00506A82">
      <w:pPr>
        <w:rPr>
          <w:rFonts w:ascii="Century Gothic" w:eastAsia="Century Gothic" w:hAnsi="Century Gothic" w:cs="Century Gothic"/>
          <w:sz w:val="15"/>
          <w:szCs w:val="15"/>
        </w:rPr>
      </w:pPr>
    </w:p>
    <w:sectPr w:rsidR="00506A8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5F1E1E3-F8B1-244D-9E89-5D0BD07EFB45}"/>
    <w:embedBold r:id="rId2" w:fontKey="{F19A37C0-BA10-8546-9714-D1F9CD840F6F}"/>
    <w:embedBoldItalic r:id="rId3" w:fontKey="{B98A4290-7160-BE48-A5B7-EDCDEF401C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E24700C-0CC4-6240-8EF4-08201D22DF79}"/>
    <w:embedBold r:id="rId5" w:fontKey="{39463128-4083-5F4A-9162-8769FC4AAD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728CC01-2A99-D649-88D2-6FEFE8DA552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ADC0E88-9CC1-4540-931E-DFC2AE3828B5}"/>
    <w:embedItalic r:id="rId8" w:fontKey="{F5174C23-C4D9-D94F-917C-0FFC91878C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41052350-E49F-714F-A0CC-F190D5D3DD7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53FE1"/>
    <w:multiLevelType w:val="multilevel"/>
    <w:tmpl w:val="B8D660F6"/>
    <w:lvl w:ilvl="0">
      <w:start w:val="1"/>
      <w:numFmt w:val="lowerLetter"/>
      <w:lvlText w:val="%1."/>
      <w:lvlJc w:val="left"/>
      <w:pPr>
        <w:ind w:left="974" w:hanging="360"/>
      </w:pPr>
      <w:rPr>
        <w:rFonts w:ascii="Century Gothic" w:eastAsia="Century Gothic" w:hAnsi="Century Gothic" w:cs="Century Gothic"/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694" w:hanging="360"/>
      </w:pPr>
    </w:lvl>
    <w:lvl w:ilvl="2">
      <w:start w:val="1"/>
      <w:numFmt w:val="lowerRoman"/>
      <w:lvlText w:val="%3."/>
      <w:lvlJc w:val="right"/>
      <w:pPr>
        <w:ind w:left="2414" w:hanging="180"/>
      </w:pPr>
    </w:lvl>
    <w:lvl w:ilvl="3">
      <w:start w:val="1"/>
      <w:numFmt w:val="decimal"/>
      <w:lvlText w:val="%4."/>
      <w:lvlJc w:val="left"/>
      <w:pPr>
        <w:ind w:left="3134" w:hanging="360"/>
      </w:pPr>
    </w:lvl>
    <w:lvl w:ilvl="4">
      <w:start w:val="1"/>
      <w:numFmt w:val="lowerLetter"/>
      <w:lvlText w:val="%5."/>
      <w:lvlJc w:val="left"/>
      <w:pPr>
        <w:ind w:left="3854" w:hanging="360"/>
      </w:pPr>
    </w:lvl>
    <w:lvl w:ilvl="5">
      <w:start w:val="1"/>
      <w:numFmt w:val="lowerRoman"/>
      <w:lvlText w:val="%6."/>
      <w:lvlJc w:val="right"/>
      <w:pPr>
        <w:ind w:left="4574" w:hanging="180"/>
      </w:pPr>
    </w:lvl>
    <w:lvl w:ilvl="6">
      <w:start w:val="1"/>
      <w:numFmt w:val="decimal"/>
      <w:lvlText w:val="%7."/>
      <w:lvlJc w:val="left"/>
      <w:pPr>
        <w:ind w:left="5294" w:hanging="360"/>
      </w:pPr>
    </w:lvl>
    <w:lvl w:ilvl="7">
      <w:start w:val="1"/>
      <w:numFmt w:val="lowerLetter"/>
      <w:lvlText w:val="%8."/>
      <w:lvlJc w:val="left"/>
      <w:pPr>
        <w:ind w:left="6014" w:hanging="360"/>
      </w:pPr>
    </w:lvl>
    <w:lvl w:ilvl="8">
      <w:start w:val="1"/>
      <w:numFmt w:val="lowerRoman"/>
      <w:lvlText w:val="%9."/>
      <w:lvlJc w:val="right"/>
      <w:pPr>
        <w:ind w:left="6734" w:hanging="180"/>
      </w:pPr>
    </w:lvl>
  </w:abstractNum>
  <w:num w:numId="1" w16cid:durableId="1996686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A82"/>
    <w:rsid w:val="000C6176"/>
    <w:rsid w:val="00225876"/>
    <w:rsid w:val="00506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EBCF47"/>
  <w15:docId w15:val="{4BC9C9E2-B77A-444E-AE5B-93A36843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2025-06-09T22:23:00Z</dcterms:created>
  <dcterms:modified xsi:type="dcterms:W3CDTF">2025-06-09T22:23:00Z</dcterms:modified>
</cp:coreProperties>
</file>