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B6D75" w14:textId="77777777" w:rsidR="002D799D" w:rsidRDefault="002D799D">
      <w:pPr>
        <w:rPr>
          <w:sz w:val="4"/>
          <w:szCs w:val="4"/>
        </w:rPr>
      </w:pPr>
    </w:p>
    <w:p w14:paraId="65F2DCD8" w14:textId="77777777" w:rsidR="002D799D" w:rsidRDefault="002D799D">
      <w:pPr>
        <w:rPr>
          <w:sz w:val="4"/>
          <w:szCs w:val="4"/>
        </w:rPr>
      </w:pPr>
    </w:p>
    <w:tbl>
      <w:tblPr>
        <w:tblStyle w:val="a"/>
        <w:tblW w:w="107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745"/>
        <w:gridCol w:w="4045"/>
      </w:tblGrid>
      <w:tr w:rsidR="002D799D" w14:paraId="337D61CB" w14:textId="77777777">
        <w:tc>
          <w:tcPr>
            <w:tcW w:w="6745" w:type="dxa"/>
            <w:vAlign w:val="center"/>
          </w:tcPr>
          <w:p w14:paraId="310F4547" w14:textId="77777777" w:rsidR="002D799D" w:rsidRDefault="00000000">
            <w:pPr>
              <w:jc w:val="center"/>
              <w:rPr>
                <w:rFonts w:ascii="Century Gothic" w:eastAsia="Century Gothic" w:hAnsi="Century Gothic" w:cs="Century Gothic"/>
                <w:b/>
                <w:color w:val="0432FF"/>
                <w:sz w:val="32"/>
                <w:szCs w:val="32"/>
              </w:rPr>
            </w:pPr>
            <w:r>
              <w:rPr>
                <w:rFonts w:ascii="Century Gothic" w:eastAsia="Century Gothic" w:hAnsi="Century Gothic" w:cs="Century Gothic"/>
                <w:b/>
                <w:color w:val="000000"/>
                <w:sz w:val="32"/>
                <w:szCs w:val="32"/>
              </w:rPr>
              <w:t>Driving Questions of a Thriving PLC:</w:t>
            </w:r>
          </w:p>
        </w:tc>
        <w:tc>
          <w:tcPr>
            <w:tcW w:w="4045" w:type="dxa"/>
            <w:vAlign w:val="center"/>
          </w:tcPr>
          <w:p w14:paraId="31E18378" w14:textId="77777777" w:rsidR="002D799D" w:rsidRDefault="00000000">
            <w:pPr>
              <w:jc w:val="center"/>
              <w:rPr>
                <w:rFonts w:ascii="Century Gothic" w:eastAsia="Century Gothic" w:hAnsi="Century Gothic" w:cs="Century Gothic"/>
                <w:b/>
                <w:color w:val="0432FF"/>
                <w:sz w:val="32"/>
                <w:szCs w:val="32"/>
              </w:rPr>
            </w:pPr>
            <w:r>
              <w:rPr>
                <w:rFonts w:ascii="Arial" w:eastAsia="Arial" w:hAnsi="Arial" w:cs="Arial"/>
                <w:b/>
                <w:smallCaps/>
                <w:noProof/>
                <w:sz w:val="32"/>
                <w:szCs w:val="32"/>
              </w:rPr>
              <w:drawing>
                <wp:inline distT="0" distB="0" distL="0" distR="0" wp14:anchorId="7423BBAE" wp14:editId="19E3E618">
                  <wp:extent cx="681969" cy="307074"/>
                  <wp:effectExtent l="0" t="0" r="0" b="0"/>
                  <wp:docPr id="1" name="image1.png" descr="A picture containing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oy&#10;&#10;Description automatically generated"/>
                          <pic:cNvPicPr preferRelativeResize="0"/>
                        </pic:nvPicPr>
                        <pic:blipFill>
                          <a:blip r:embed="rId4"/>
                          <a:srcRect/>
                          <a:stretch>
                            <a:fillRect/>
                          </a:stretch>
                        </pic:blipFill>
                        <pic:spPr>
                          <a:xfrm>
                            <a:off x="0" y="0"/>
                            <a:ext cx="681969" cy="307074"/>
                          </a:xfrm>
                          <a:prstGeom prst="rect">
                            <a:avLst/>
                          </a:prstGeom>
                          <a:ln/>
                        </pic:spPr>
                      </pic:pic>
                    </a:graphicData>
                  </a:graphic>
                </wp:inline>
              </w:drawing>
            </w:r>
          </w:p>
        </w:tc>
      </w:tr>
    </w:tbl>
    <w:p w14:paraId="6C1D825C" w14:textId="77777777" w:rsidR="002D799D" w:rsidRDefault="002D799D">
      <w:pPr>
        <w:rPr>
          <w:sz w:val="4"/>
          <w:szCs w:val="4"/>
        </w:rPr>
      </w:pPr>
    </w:p>
    <w:p w14:paraId="431EE68D" w14:textId="77777777" w:rsidR="002D799D" w:rsidRDefault="002D799D">
      <w:pPr>
        <w:rPr>
          <w:sz w:val="4"/>
          <w:szCs w:val="4"/>
        </w:rPr>
      </w:pPr>
    </w:p>
    <w:tbl>
      <w:tblPr>
        <w:tblStyle w:val="a0"/>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30"/>
        <w:gridCol w:w="3270"/>
      </w:tblGrid>
      <w:tr w:rsidR="002D799D" w14:paraId="0BDF69DA" w14:textId="77777777">
        <w:trPr>
          <w:trHeight w:val="1412"/>
        </w:trPr>
        <w:tc>
          <w:tcPr>
            <w:tcW w:w="7530" w:type="dxa"/>
            <w:tcBorders>
              <w:bottom w:val="single" w:sz="4" w:space="0" w:color="000000"/>
            </w:tcBorders>
            <w:vAlign w:val="center"/>
          </w:tcPr>
          <w:p w14:paraId="137F950E" w14:textId="77777777" w:rsidR="002D799D" w:rsidRDefault="00000000">
            <w:pPr>
              <w:ind w:left="-18"/>
              <w:rPr>
                <w:rFonts w:ascii="Comic Sans MS" w:eastAsia="Comic Sans MS" w:hAnsi="Comic Sans MS" w:cs="Comic Sans MS"/>
                <w:sz w:val="26"/>
                <w:szCs w:val="26"/>
              </w:rPr>
            </w:pPr>
            <w:r>
              <w:rPr>
                <w:rFonts w:ascii="Comic Sans MS" w:eastAsia="Comic Sans MS" w:hAnsi="Comic Sans MS" w:cs="Comic Sans MS"/>
                <w:sz w:val="26"/>
                <w:szCs w:val="26"/>
              </w:rPr>
              <w:t>What is it that we want our students to know and be able to do?</w:t>
            </w:r>
          </w:p>
          <w:p w14:paraId="2085E7CB" w14:textId="77777777" w:rsidR="002D799D" w:rsidRDefault="00000000">
            <w:pPr>
              <w:ind w:left="343"/>
              <w:rPr>
                <w:rFonts w:ascii="Comic Sans MS" w:eastAsia="Comic Sans MS" w:hAnsi="Comic Sans MS" w:cs="Comic Sans MS"/>
                <w:sz w:val="20"/>
                <w:szCs w:val="20"/>
              </w:rPr>
            </w:pPr>
            <w:r>
              <w:rPr>
                <w:rFonts w:ascii="Comic Sans MS" w:eastAsia="Comic Sans MS" w:hAnsi="Comic Sans MS" w:cs="Comic Sans MS"/>
                <w:sz w:val="20"/>
                <w:szCs w:val="20"/>
              </w:rPr>
              <w:t xml:space="preserve">(e.g., collaboratively unpack standards &amp; performance descriptors to determine knowledge, skills, context, and vocabulary, </w:t>
            </w:r>
            <w:r>
              <w:rPr>
                <w:rFonts w:ascii="Comic Sans MS" w:eastAsia="Comic Sans MS" w:hAnsi="Comic Sans MS" w:cs="Comic Sans MS"/>
                <w:color w:val="000000"/>
                <w:sz w:val="20"/>
                <w:szCs w:val="20"/>
              </w:rPr>
              <w:t xml:space="preserve">collaboratively develop student ‘friendly’ learning intentions and success </w:t>
            </w:r>
            <w:proofErr w:type="gramStart"/>
            <w:r>
              <w:rPr>
                <w:rFonts w:ascii="Comic Sans MS" w:eastAsia="Comic Sans MS" w:hAnsi="Comic Sans MS" w:cs="Comic Sans MS"/>
                <w:color w:val="000000"/>
                <w:sz w:val="20"/>
                <w:szCs w:val="20"/>
              </w:rPr>
              <w:t xml:space="preserve">criteria,  </w:t>
            </w:r>
            <w:r>
              <w:rPr>
                <w:rFonts w:ascii="Comic Sans MS" w:eastAsia="Comic Sans MS" w:hAnsi="Comic Sans MS" w:cs="Comic Sans MS"/>
                <w:sz w:val="20"/>
                <w:szCs w:val="20"/>
              </w:rPr>
              <w:t>)</w:t>
            </w:r>
            <w:proofErr w:type="gramEnd"/>
          </w:p>
        </w:tc>
        <w:tc>
          <w:tcPr>
            <w:tcW w:w="3270" w:type="dxa"/>
            <w:tcBorders>
              <w:bottom w:val="single" w:sz="4" w:space="0" w:color="000000"/>
            </w:tcBorders>
            <w:vAlign w:val="center"/>
          </w:tcPr>
          <w:p w14:paraId="4C1A28F1" w14:textId="77777777" w:rsidR="002D799D"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Not Yet</w:t>
            </w:r>
          </w:p>
          <w:p w14:paraId="22A1895B" w14:textId="77777777" w:rsidR="002D799D"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Somewhat</w:t>
            </w:r>
          </w:p>
          <w:p w14:paraId="2A1F3FCD" w14:textId="77777777" w:rsidR="002D799D"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With Fidelity</w:t>
            </w:r>
          </w:p>
        </w:tc>
      </w:tr>
      <w:tr w:rsidR="002D799D" w14:paraId="071FA56E" w14:textId="77777777">
        <w:trPr>
          <w:trHeight w:val="1413"/>
        </w:trPr>
        <w:tc>
          <w:tcPr>
            <w:tcW w:w="7530" w:type="dxa"/>
            <w:tcBorders>
              <w:bottom w:val="single" w:sz="4" w:space="0" w:color="000000"/>
            </w:tcBorders>
            <w:vAlign w:val="center"/>
          </w:tcPr>
          <w:p w14:paraId="14EC8386" w14:textId="77777777" w:rsidR="002D799D" w:rsidRDefault="00000000">
            <w:pPr>
              <w:ind w:left="-18"/>
              <w:rPr>
                <w:rFonts w:ascii="Comic Sans MS" w:eastAsia="Comic Sans MS" w:hAnsi="Comic Sans MS" w:cs="Comic Sans MS"/>
                <w:sz w:val="26"/>
                <w:szCs w:val="26"/>
              </w:rPr>
            </w:pPr>
            <w:r>
              <w:rPr>
                <w:rFonts w:ascii="Comic Sans MS" w:eastAsia="Comic Sans MS" w:hAnsi="Comic Sans MS" w:cs="Comic Sans MS"/>
                <w:sz w:val="26"/>
                <w:szCs w:val="26"/>
              </w:rPr>
              <w:t>What evidence would we accept that students have learned the essential content?</w:t>
            </w:r>
          </w:p>
          <w:p w14:paraId="507E6F6A" w14:textId="77777777" w:rsidR="002D799D" w:rsidRDefault="00000000">
            <w:pPr>
              <w:ind w:left="343"/>
              <w:rPr>
                <w:rFonts w:ascii="Comic Sans MS" w:eastAsia="Comic Sans MS" w:hAnsi="Comic Sans MS" w:cs="Comic Sans MS"/>
                <w:sz w:val="20"/>
                <w:szCs w:val="20"/>
              </w:rPr>
            </w:pPr>
            <w:r>
              <w:rPr>
                <w:rFonts w:ascii="Comic Sans MS" w:eastAsia="Comic Sans MS" w:hAnsi="Comic Sans MS" w:cs="Comic Sans MS"/>
                <w:sz w:val="20"/>
                <w:szCs w:val="20"/>
              </w:rPr>
              <w:t>(e.g., collaboratively create EXIT Tickets and/or formative assessments (e.g., DFA or CFA) to determine where each student is compared to the standard at each PLD level and beyond.)</w:t>
            </w:r>
          </w:p>
        </w:tc>
        <w:tc>
          <w:tcPr>
            <w:tcW w:w="3270" w:type="dxa"/>
            <w:tcBorders>
              <w:bottom w:val="single" w:sz="4" w:space="0" w:color="000000"/>
            </w:tcBorders>
            <w:vAlign w:val="center"/>
          </w:tcPr>
          <w:p w14:paraId="1D851724" w14:textId="77777777" w:rsidR="002D799D"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Not Yet</w:t>
            </w:r>
          </w:p>
          <w:p w14:paraId="15D58D8F" w14:textId="77777777" w:rsidR="002D799D"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Somewhat</w:t>
            </w:r>
          </w:p>
          <w:p w14:paraId="3CA45362" w14:textId="77777777" w:rsidR="002D799D" w:rsidRDefault="00000000">
            <w:pPr>
              <w:jc w:val="center"/>
              <w:rPr>
                <w:rFonts w:ascii="Comic Sans MS" w:eastAsia="Comic Sans MS" w:hAnsi="Comic Sans MS" w:cs="Comic Sans MS"/>
                <w:sz w:val="28"/>
                <w:szCs w:val="28"/>
              </w:rPr>
            </w:pPr>
            <w:r>
              <w:rPr>
                <w:rFonts w:ascii="Comic Sans MS" w:eastAsia="Comic Sans MS" w:hAnsi="Comic Sans MS" w:cs="Comic Sans MS"/>
                <w:sz w:val="28"/>
                <w:szCs w:val="28"/>
              </w:rPr>
              <w:t>With Fidelity</w:t>
            </w:r>
          </w:p>
        </w:tc>
      </w:tr>
      <w:tr w:rsidR="002D799D" w14:paraId="2711BC94" w14:textId="77777777">
        <w:trPr>
          <w:trHeight w:val="2312"/>
        </w:trPr>
        <w:tc>
          <w:tcPr>
            <w:tcW w:w="7530" w:type="dxa"/>
            <w:tcBorders>
              <w:bottom w:val="single" w:sz="4" w:space="0" w:color="000000"/>
            </w:tcBorders>
            <w:vAlign w:val="center"/>
          </w:tcPr>
          <w:p w14:paraId="641A23BB" w14:textId="77777777" w:rsidR="002D799D" w:rsidRDefault="00000000">
            <w:pPr>
              <w:ind w:left="-18"/>
              <w:rPr>
                <w:rFonts w:ascii="Comic Sans MS" w:eastAsia="Comic Sans MS" w:hAnsi="Comic Sans MS" w:cs="Comic Sans MS"/>
                <w:color w:val="000000"/>
                <w:sz w:val="26"/>
                <w:szCs w:val="26"/>
              </w:rPr>
            </w:pPr>
            <w:r>
              <w:rPr>
                <w:rFonts w:ascii="Comic Sans MS" w:eastAsia="Comic Sans MS" w:hAnsi="Comic Sans MS" w:cs="Comic Sans MS"/>
                <w:color w:val="000000"/>
                <w:sz w:val="26"/>
                <w:szCs w:val="26"/>
              </w:rPr>
              <w:t>What instructional practices will produce our best results?</w:t>
            </w:r>
          </w:p>
          <w:p w14:paraId="59D9B4AB" w14:textId="77777777" w:rsidR="002D799D" w:rsidRDefault="00000000">
            <w:pPr>
              <w:ind w:left="342"/>
              <w:rPr>
                <w:rFonts w:ascii="Comic Sans MS" w:eastAsia="Comic Sans MS" w:hAnsi="Comic Sans MS" w:cs="Comic Sans MS"/>
                <w:sz w:val="20"/>
                <w:szCs w:val="20"/>
              </w:rPr>
            </w:pPr>
            <w:r>
              <w:rPr>
                <w:rFonts w:ascii="Comic Sans MS" w:eastAsia="Comic Sans MS" w:hAnsi="Comic Sans MS" w:cs="Comic Sans MS"/>
                <w:color w:val="000000"/>
                <w:sz w:val="20"/>
                <w:szCs w:val="20"/>
              </w:rPr>
              <w:t>(e.g., engagement strategies aligned to DOK of standard, checks 4 understanding, differentiated learning opportunities, archiving, exemplars, closure, spiraling); students use learning intention and success criteria to check for understanding. Does our instruction match or exceed the level of rigor on the standard and associated formative assessment?). Conduct ‘learning walks’ to learn from each other.</w:t>
            </w:r>
          </w:p>
        </w:tc>
        <w:tc>
          <w:tcPr>
            <w:tcW w:w="3270" w:type="dxa"/>
            <w:tcBorders>
              <w:bottom w:val="single" w:sz="4" w:space="0" w:color="000000"/>
            </w:tcBorders>
            <w:vAlign w:val="center"/>
          </w:tcPr>
          <w:p w14:paraId="0FF4E801" w14:textId="77777777" w:rsidR="002D799D"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Not Yet</w:t>
            </w:r>
          </w:p>
          <w:p w14:paraId="417526B6" w14:textId="77777777" w:rsidR="002D799D"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Somewhat</w:t>
            </w:r>
          </w:p>
          <w:p w14:paraId="465ADE5F" w14:textId="77777777" w:rsidR="002D799D" w:rsidRDefault="00000000">
            <w:pPr>
              <w:jc w:val="center"/>
              <w:rPr>
                <w:rFonts w:ascii="Comic Sans MS" w:eastAsia="Comic Sans MS" w:hAnsi="Comic Sans MS" w:cs="Comic Sans MS"/>
                <w:sz w:val="28"/>
                <w:szCs w:val="28"/>
              </w:rPr>
            </w:pPr>
            <w:r>
              <w:rPr>
                <w:rFonts w:ascii="Comic Sans MS" w:eastAsia="Comic Sans MS" w:hAnsi="Comic Sans MS" w:cs="Comic Sans MS"/>
                <w:sz w:val="28"/>
                <w:szCs w:val="28"/>
              </w:rPr>
              <w:t>With Fidelity</w:t>
            </w:r>
          </w:p>
        </w:tc>
      </w:tr>
      <w:tr w:rsidR="002D799D" w14:paraId="6997CD7F" w14:textId="77777777">
        <w:trPr>
          <w:trHeight w:val="1275"/>
        </w:trPr>
        <w:tc>
          <w:tcPr>
            <w:tcW w:w="7530" w:type="dxa"/>
            <w:tcBorders>
              <w:bottom w:val="single" w:sz="4" w:space="0" w:color="000000"/>
            </w:tcBorders>
            <w:vAlign w:val="center"/>
          </w:tcPr>
          <w:p w14:paraId="6E7C39FA" w14:textId="77777777" w:rsidR="002D799D" w:rsidRDefault="00000000">
            <w:pPr>
              <w:ind w:left="-18"/>
              <w:rPr>
                <w:rFonts w:ascii="Comic Sans MS" w:eastAsia="Comic Sans MS" w:hAnsi="Comic Sans MS" w:cs="Comic Sans MS"/>
                <w:sz w:val="28"/>
                <w:szCs w:val="28"/>
              </w:rPr>
            </w:pPr>
            <w:r>
              <w:rPr>
                <w:rFonts w:ascii="Comic Sans MS" w:eastAsia="Comic Sans MS" w:hAnsi="Comic Sans MS" w:cs="Comic Sans MS"/>
                <w:sz w:val="26"/>
                <w:szCs w:val="26"/>
              </w:rPr>
              <w:t xml:space="preserve">Reflect   </w:t>
            </w:r>
            <w:r>
              <w:rPr>
                <w:rFonts w:ascii="Comic Sans MS" w:eastAsia="Comic Sans MS" w:hAnsi="Comic Sans MS" w:cs="Comic Sans MS"/>
                <w:sz w:val="28"/>
                <w:szCs w:val="28"/>
              </w:rPr>
              <w:t xml:space="preserve"> </w:t>
            </w:r>
          </w:p>
          <w:p w14:paraId="2EC91F36" w14:textId="77777777" w:rsidR="002D799D" w:rsidRDefault="00000000">
            <w:pPr>
              <w:ind w:left="341"/>
              <w:rPr>
                <w:rFonts w:ascii="Comic Sans MS" w:eastAsia="Comic Sans MS" w:hAnsi="Comic Sans MS" w:cs="Comic Sans MS"/>
                <w:sz w:val="20"/>
                <w:szCs w:val="20"/>
              </w:rPr>
            </w:pPr>
            <w:r>
              <w:rPr>
                <w:rFonts w:ascii="Comic Sans MS" w:eastAsia="Comic Sans MS" w:hAnsi="Comic Sans MS" w:cs="Comic Sans MS"/>
                <w:sz w:val="20"/>
                <w:szCs w:val="20"/>
              </w:rPr>
              <w:t>(e.g., collaboratively analyze student achievement data to determine where each student is compared to the knowledge, skills, and vocabulary of standards and PLDs.</w:t>
            </w:r>
          </w:p>
        </w:tc>
        <w:tc>
          <w:tcPr>
            <w:tcW w:w="3270" w:type="dxa"/>
            <w:tcBorders>
              <w:bottom w:val="single" w:sz="4" w:space="0" w:color="000000"/>
            </w:tcBorders>
            <w:vAlign w:val="center"/>
          </w:tcPr>
          <w:p w14:paraId="74BF29F7" w14:textId="77777777" w:rsidR="002D799D"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Not Yet</w:t>
            </w:r>
          </w:p>
          <w:p w14:paraId="64B9D048" w14:textId="77777777" w:rsidR="002D799D"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Somewhat</w:t>
            </w:r>
          </w:p>
          <w:p w14:paraId="4778350B" w14:textId="77777777" w:rsidR="002D799D" w:rsidRDefault="00000000">
            <w:pPr>
              <w:jc w:val="center"/>
              <w:rPr>
                <w:rFonts w:ascii="Comic Sans MS" w:eastAsia="Comic Sans MS" w:hAnsi="Comic Sans MS" w:cs="Comic Sans MS"/>
                <w:sz w:val="28"/>
                <w:szCs w:val="28"/>
              </w:rPr>
            </w:pPr>
            <w:r>
              <w:rPr>
                <w:rFonts w:ascii="Comic Sans MS" w:eastAsia="Comic Sans MS" w:hAnsi="Comic Sans MS" w:cs="Comic Sans MS"/>
                <w:sz w:val="28"/>
                <w:szCs w:val="28"/>
              </w:rPr>
              <w:t>With Fidelity</w:t>
            </w:r>
          </w:p>
        </w:tc>
      </w:tr>
      <w:tr w:rsidR="002D799D" w14:paraId="4033973F" w14:textId="77777777">
        <w:trPr>
          <w:trHeight w:val="1646"/>
        </w:trPr>
        <w:tc>
          <w:tcPr>
            <w:tcW w:w="7530" w:type="dxa"/>
            <w:tcBorders>
              <w:bottom w:val="single" w:sz="4" w:space="0" w:color="000000"/>
            </w:tcBorders>
            <w:vAlign w:val="center"/>
          </w:tcPr>
          <w:p w14:paraId="7FB36D8E" w14:textId="77777777" w:rsidR="002D799D" w:rsidRDefault="00000000">
            <w:pPr>
              <w:ind w:left="-18"/>
              <w:rPr>
                <w:rFonts w:ascii="Comic Sans MS" w:eastAsia="Comic Sans MS" w:hAnsi="Comic Sans MS" w:cs="Comic Sans MS"/>
                <w:sz w:val="26"/>
                <w:szCs w:val="26"/>
              </w:rPr>
            </w:pPr>
            <w:r>
              <w:rPr>
                <w:rFonts w:ascii="Comic Sans MS" w:eastAsia="Comic Sans MS" w:hAnsi="Comic Sans MS" w:cs="Comic Sans MS"/>
                <w:sz w:val="26"/>
                <w:szCs w:val="26"/>
              </w:rPr>
              <w:t>What will we do if our students have not learned it?</w:t>
            </w:r>
          </w:p>
          <w:p w14:paraId="217EDA6C" w14:textId="77777777" w:rsidR="002D799D" w:rsidRDefault="00000000">
            <w:pPr>
              <w:ind w:left="342"/>
              <w:rPr>
                <w:rFonts w:ascii="Comic Sans MS" w:eastAsia="Comic Sans MS" w:hAnsi="Comic Sans MS" w:cs="Comic Sans MS"/>
                <w:sz w:val="20"/>
                <w:szCs w:val="20"/>
              </w:rPr>
            </w:pPr>
            <w:r>
              <w:rPr>
                <w:rFonts w:ascii="Comic Sans MS" w:eastAsia="Comic Sans MS" w:hAnsi="Comic Sans MS" w:cs="Comic Sans MS"/>
                <w:sz w:val="20"/>
                <w:szCs w:val="20"/>
              </w:rPr>
              <w:t>(e.g., collaboratively develop and conduct flex-groups, guided groups, individual conferencing, reassess to celebrate growth, Flashback Standard to move each student to proficiency and beyond.)</w:t>
            </w:r>
          </w:p>
        </w:tc>
        <w:tc>
          <w:tcPr>
            <w:tcW w:w="3270" w:type="dxa"/>
            <w:tcBorders>
              <w:bottom w:val="single" w:sz="4" w:space="0" w:color="000000"/>
            </w:tcBorders>
            <w:vAlign w:val="center"/>
          </w:tcPr>
          <w:p w14:paraId="1A8E220D" w14:textId="77777777" w:rsidR="002D799D"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Not Yet</w:t>
            </w:r>
          </w:p>
          <w:p w14:paraId="59BD04C5" w14:textId="77777777" w:rsidR="002D799D"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Somewhat</w:t>
            </w:r>
          </w:p>
          <w:p w14:paraId="436CCE4F" w14:textId="77777777" w:rsidR="002D799D" w:rsidRDefault="00000000">
            <w:pPr>
              <w:jc w:val="center"/>
              <w:rPr>
                <w:rFonts w:ascii="Comic Sans MS" w:eastAsia="Comic Sans MS" w:hAnsi="Comic Sans MS" w:cs="Comic Sans MS"/>
                <w:sz w:val="28"/>
                <w:szCs w:val="28"/>
              </w:rPr>
            </w:pPr>
            <w:r>
              <w:rPr>
                <w:rFonts w:ascii="Comic Sans MS" w:eastAsia="Comic Sans MS" w:hAnsi="Comic Sans MS" w:cs="Comic Sans MS"/>
                <w:sz w:val="28"/>
                <w:szCs w:val="28"/>
              </w:rPr>
              <w:t>With Fidelity</w:t>
            </w:r>
          </w:p>
        </w:tc>
      </w:tr>
      <w:tr w:rsidR="002D799D" w14:paraId="5137180E" w14:textId="77777777">
        <w:trPr>
          <w:trHeight w:val="1793"/>
        </w:trPr>
        <w:tc>
          <w:tcPr>
            <w:tcW w:w="7530" w:type="dxa"/>
            <w:tcBorders>
              <w:bottom w:val="single" w:sz="4" w:space="0" w:color="000000"/>
            </w:tcBorders>
            <w:vAlign w:val="center"/>
          </w:tcPr>
          <w:p w14:paraId="163E30F8" w14:textId="77777777" w:rsidR="002D799D" w:rsidRDefault="00000000">
            <w:pPr>
              <w:ind w:left="-18"/>
              <w:rPr>
                <w:rFonts w:ascii="Comic Sans MS" w:eastAsia="Comic Sans MS" w:hAnsi="Comic Sans MS" w:cs="Comic Sans MS"/>
                <w:sz w:val="26"/>
                <w:szCs w:val="26"/>
              </w:rPr>
            </w:pPr>
            <w:r>
              <w:rPr>
                <w:rFonts w:ascii="Comic Sans MS" w:eastAsia="Comic Sans MS" w:hAnsi="Comic Sans MS" w:cs="Comic Sans MS"/>
                <w:sz w:val="26"/>
                <w:szCs w:val="26"/>
              </w:rPr>
              <w:t>What will we do to differentiate instruction when students already know it?</w:t>
            </w:r>
          </w:p>
          <w:p w14:paraId="6AE94ED7" w14:textId="77777777" w:rsidR="002D799D" w:rsidRDefault="00000000">
            <w:pPr>
              <w:ind w:left="341"/>
              <w:rPr>
                <w:rFonts w:ascii="Comic Sans MS" w:eastAsia="Comic Sans MS" w:hAnsi="Comic Sans MS" w:cs="Comic Sans MS"/>
                <w:sz w:val="20"/>
                <w:szCs w:val="20"/>
              </w:rPr>
            </w:pPr>
            <w:r>
              <w:rPr>
                <w:rFonts w:ascii="Comic Sans MS" w:eastAsia="Comic Sans MS" w:hAnsi="Comic Sans MS" w:cs="Comic Sans MS"/>
                <w:sz w:val="20"/>
                <w:szCs w:val="20"/>
              </w:rPr>
              <w:t>(e.g., collaboratively develop Genius Hour structures, extensions for deeper learning at or beyond Distinguished level of PLDs, Preview Standard, etc.)</w:t>
            </w:r>
          </w:p>
        </w:tc>
        <w:tc>
          <w:tcPr>
            <w:tcW w:w="3270" w:type="dxa"/>
            <w:tcBorders>
              <w:bottom w:val="single" w:sz="4" w:space="0" w:color="000000"/>
            </w:tcBorders>
            <w:vAlign w:val="center"/>
          </w:tcPr>
          <w:p w14:paraId="13828984" w14:textId="77777777" w:rsidR="002D799D"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Not Yet</w:t>
            </w:r>
          </w:p>
          <w:p w14:paraId="11E246BA" w14:textId="77777777" w:rsidR="002D799D"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Somewhat</w:t>
            </w:r>
          </w:p>
          <w:p w14:paraId="30C002C5" w14:textId="77777777" w:rsidR="002D799D" w:rsidRDefault="00000000">
            <w:pPr>
              <w:jc w:val="center"/>
              <w:rPr>
                <w:rFonts w:ascii="Comic Sans MS" w:eastAsia="Comic Sans MS" w:hAnsi="Comic Sans MS" w:cs="Comic Sans MS"/>
                <w:sz w:val="28"/>
                <w:szCs w:val="28"/>
              </w:rPr>
            </w:pPr>
            <w:r>
              <w:rPr>
                <w:rFonts w:ascii="Comic Sans MS" w:eastAsia="Comic Sans MS" w:hAnsi="Comic Sans MS" w:cs="Comic Sans MS"/>
                <w:sz w:val="28"/>
                <w:szCs w:val="28"/>
              </w:rPr>
              <w:t>With Fidelity</w:t>
            </w:r>
          </w:p>
        </w:tc>
      </w:tr>
      <w:tr w:rsidR="002D799D" w14:paraId="4A6B809F" w14:textId="77777777">
        <w:trPr>
          <w:trHeight w:val="1758"/>
        </w:trPr>
        <w:tc>
          <w:tcPr>
            <w:tcW w:w="7530" w:type="dxa"/>
            <w:tcBorders>
              <w:bottom w:val="single" w:sz="4" w:space="0" w:color="000000"/>
            </w:tcBorders>
            <w:vAlign w:val="center"/>
          </w:tcPr>
          <w:p w14:paraId="49A2BEC8" w14:textId="77777777" w:rsidR="002D799D" w:rsidRDefault="00000000">
            <w:pPr>
              <w:ind w:left="-18"/>
              <w:rPr>
                <w:rFonts w:ascii="Comic Sans MS" w:eastAsia="Comic Sans MS" w:hAnsi="Comic Sans MS" w:cs="Comic Sans MS"/>
                <w:sz w:val="26"/>
                <w:szCs w:val="26"/>
              </w:rPr>
            </w:pPr>
            <w:r>
              <w:rPr>
                <w:rFonts w:ascii="Comic Sans MS" w:eastAsia="Comic Sans MS" w:hAnsi="Comic Sans MS" w:cs="Comic Sans MS"/>
                <w:sz w:val="26"/>
                <w:szCs w:val="26"/>
              </w:rPr>
              <w:t>What will we do to improve, catalog, and save our work?</w:t>
            </w:r>
          </w:p>
          <w:p w14:paraId="037DD581" w14:textId="77777777" w:rsidR="002D799D" w:rsidRDefault="00000000">
            <w:pPr>
              <w:ind w:left="342"/>
              <w:rPr>
                <w:rFonts w:ascii="Comic Sans MS" w:eastAsia="Comic Sans MS" w:hAnsi="Comic Sans MS" w:cs="Comic Sans MS"/>
                <w:sz w:val="20"/>
                <w:szCs w:val="20"/>
              </w:rPr>
            </w:pPr>
            <w:r>
              <w:rPr>
                <w:rFonts w:ascii="Comic Sans MS" w:eastAsia="Comic Sans MS" w:hAnsi="Comic Sans MS" w:cs="Comic Sans MS"/>
                <w:sz w:val="20"/>
                <w:szCs w:val="20"/>
              </w:rPr>
              <w:t>(e.g., collaboratively discuss the effectiveness of the learning process experienced by students. Modify as needed and save in a district/school instructional warehouse)</w:t>
            </w:r>
          </w:p>
        </w:tc>
        <w:tc>
          <w:tcPr>
            <w:tcW w:w="3270" w:type="dxa"/>
            <w:tcBorders>
              <w:bottom w:val="single" w:sz="4" w:space="0" w:color="000000"/>
            </w:tcBorders>
            <w:vAlign w:val="center"/>
          </w:tcPr>
          <w:p w14:paraId="0D7456FC" w14:textId="77777777" w:rsidR="002D799D"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Not Yet</w:t>
            </w:r>
          </w:p>
          <w:p w14:paraId="4339BFF6" w14:textId="77777777" w:rsidR="002D799D"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Somewhat</w:t>
            </w:r>
          </w:p>
          <w:p w14:paraId="198625F9" w14:textId="77777777" w:rsidR="002D799D" w:rsidRDefault="00000000">
            <w:pPr>
              <w:jc w:val="center"/>
              <w:rPr>
                <w:rFonts w:ascii="Comic Sans MS" w:eastAsia="Comic Sans MS" w:hAnsi="Comic Sans MS" w:cs="Comic Sans MS"/>
                <w:sz w:val="28"/>
                <w:szCs w:val="28"/>
              </w:rPr>
            </w:pPr>
            <w:r>
              <w:rPr>
                <w:rFonts w:ascii="Comic Sans MS" w:eastAsia="Comic Sans MS" w:hAnsi="Comic Sans MS" w:cs="Comic Sans MS"/>
                <w:sz w:val="28"/>
                <w:szCs w:val="28"/>
              </w:rPr>
              <w:t>With Fidelity</w:t>
            </w:r>
          </w:p>
        </w:tc>
      </w:tr>
      <w:tr w:rsidR="002D799D" w14:paraId="35C15678" w14:textId="77777777">
        <w:trPr>
          <w:trHeight w:val="350"/>
        </w:trPr>
        <w:tc>
          <w:tcPr>
            <w:tcW w:w="10800" w:type="dxa"/>
            <w:gridSpan w:val="2"/>
            <w:tcBorders>
              <w:bottom w:val="single" w:sz="4" w:space="0" w:color="000000"/>
            </w:tcBorders>
            <w:vAlign w:val="center"/>
          </w:tcPr>
          <w:p w14:paraId="19323253" w14:textId="77777777" w:rsidR="002D799D" w:rsidRDefault="00000000">
            <w:pPr>
              <w:jc w:val="center"/>
              <w:rPr>
                <w:rFonts w:ascii="Comic Sans MS" w:eastAsia="Comic Sans MS" w:hAnsi="Comic Sans MS" w:cs="Comic Sans MS"/>
                <w:i/>
              </w:rPr>
            </w:pPr>
            <w:r>
              <w:rPr>
                <w:rFonts w:ascii="Comic Sans MS" w:eastAsia="Comic Sans MS" w:hAnsi="Comic Sans MS" w:cs="Comic Sans MS"/>
                <w:i/>
              </w:rPr>
              <w:t>Repeat as required for each student…</w:t>
            </w:r>
          </w:p>
        </w:tc>
      </w:tr>
    </w:tbl>
    <w:p w14:paraId="551F1BE6" w14:textId="77777777" w:rsidR="002D799D" w:rsidRDefault="002D799D">
      <w:pPr>
        <w:rPr>
          <w:sz w:val="4"/>
          <w:szCs w:val="4"/>
        </w:rPr>
      </w:pPr>
    </w:p>
    <w:p w14:paraId="257E2C62" w14:textId="77777777" w:rsidR="002D799D" w:rsidRDefault="002D799D">
      <w:pPr>
        <w:rPr>
          <w:sz w:val="4"/>
          <w:szCs w:val="4"/>
        </w:rPr>
      </w:pPr>
    </w:p>
    <w:p w14:paraId="74797FAB" w14:textId="77777777" w:rsidR="002D799D" w:rsidRDefault="002D799D">
      <w:pPr>
        <w:spacing w:line="360" w:lineRule="auto"/>
      </w:pPr>
    </w:p>
    <w:sectPr w:rsidR="002D799D">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321381F9-71A2-A14F-9229-161539061779}"/>
    <w:embedBold r:id="rId2" w:fontKey="{46858191-5B9F-AE45-B339-F8CCCD8B9DEF}"/>
  </w:font>
  <w:font w:name="Times New Roman">
    <w:panose1 w:val="02020603050405020304"/>
    <w:charset w:val="00"/>
    <w:family w:val="roman"/>
    <w:pitch w:val="variable"/>
    <w:sig w:usb0="E0002EFF" w:usb1="C000785B" w:usb2="00000009" w:usb3="00000000" w:csb0="000001FF" w:csb1="00000000"/>
    <w:embedRegular r:id="rId3" w:fontKey="{DB972A13-C7FC-6A43-989C-61BFEFB0F50D}"/>
  </w:font>
  <w:font w:name="Georgia">
    <w:panose1 w:val="02040502050405020303"/>
    <w:charset w:val="00"/>
    <w:family w:val="roman"/>
    <w:pitch w:val="variable"/>
    <w:sig w:usb0="00000287" w:usb1="00000000" w:usb2="00000000" w:usb3="00000000" w:csb0="0000009F" w:csb1="00000000"/>
    <w:embedRegular r:id="rId4" w:fontKey="{1D846DD6-B3CA-F145-8F14-EEC72ED6540E}"/>
    <w:embedItalic r:id="rId5" w:fontKey="{ABBFD2CF-E3B9-1749-8B0C-E3C1D2B91AA9}"/>
  </w:font>
  <w:font w:name="Century Gothic">
    <w:panose1 w:val="020B0502020202020204"/>
    <w:charset w:val="00"/>
    <w:family w:val="swiss"/>
    <w:pitch w:val="variable"/>
    <w:sig w:usb0="00000287" w:usb1="00000000" w:usb2="00000000" w:usb3="00000000" w:csb0="0000009F" w:csb1="00000000"/>
    <w:embedRegular r:id="rId6" w:fontKey="{766C46A1-ECC3-664A-A47E-15FC53F7E417}"/>
    <w:embedBold r:id="rId7" w:fontKey="{27FB9B97-6E9A-E34F-BF1D-51F1C4D2ACF0}"/>
  </w:font>
  <w:font w:name="Arial">
    <w:panose1 w:val="020B0604020202020204"/>
    <w:charset w:val="00"/>
    <w:family w:val="swiss"/>
    <w:pitch w:val="variable"/>
    <w:sig w:usb0="E0002EFF" w:usb1="C000785B" w:usb2="00000009" w:usb3="00000000" w:csb0="000001FF" w:csb1="00000000"/>
    <w:embedRegular r:id="rId8" w:fontKey="{60C521A9-FB61-174D-B327-615BC7BBC6B4}"/>
    <w:embedBold r:id="rId9" w:fontKey="{B9A05800-AAED-CA4A-9E47-F504DB22168D}"/>
  </w:font>
  <w:font w:name="Comic Sans MS">
    <w:panose1 w:val="030F0702030302020204"/>
    <w:charset w:val="00"/>
    <w:family w:val="script"/>
    <w:pitch w:val="variable"/>
    <w:sig w:usb0="00000287" w:usb1="00000000" w:usb2="00000000" w:usb3="00000000" w:csb0="0000009F" w:csb1="00000000"/>
    <w:embedRegular r:id="rId10" w:fontKey="{68B1D47E-9D74-AF48-8E68-389A3510B20E}"/>
    <w:embedItalic r:id="rId11" w:fontKey="{8B3862F8-0C58-B648-A6F9-5E79100F4395}"/>
  </w:font>
  <w:font w:name="Cambria">
    <w:panose1 w:val="02040503050406030204"/>
    <w:charset w:val="00"/>
    <w:family w:val="roman"/>
    <w:pitch w:val="variable"/>
    <w:sig w:usb0="E00002FF" w:usb1="400004FF" w:usb2="00000000" w:usb3="00000000" w:csb0="0000019F" w:csb1="00000000"/>
    <w:embedRegular r:id="rId12" w:fontKey="{9CF7AEE1-966C-6944-9D8A-B1A100F13E4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99D"/>
    <w:rsid w:val="00225876"/>
    <w:rsid w:val="002D799D"/>
    <w:rsid w:val="00F23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7A14E9"/>
  <w15:docId w15:val="{4BC9C9E2-B77A-444E-AE5B-93A368437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326</Words>
  <Characters>1863</Characters>
  <Application>Microsoft Office Word</Application>
  <DocSecurity>0</DocSecurity>
  <Lines>15</Lines>
  <Paragraphs>4</Paragraphs>
  <ScaleCrop>false</ScaleCrop>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Dawn Meyer</cp:lastModifiedBy>
  <cp:revision>2</cp:revision>
  <dcterms:created xsi:type="dcterms:W3CDTF">2025-06-09T22:06:00Z</dcterms:created>
  <dcterms:modified xsi:type="dcterms:W3CDTF">2025-06-09T22:06:00Z</dcterms:modified>
</cp:coreProperties>
</file>