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C5CDA" w14:textId="77777777" w:rsidR="00885CF5" w:rsidRDefault="00000000">
      <w:pPr>
        <w:spacing w:line="276" w:lineRule="auto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Providing Pathways to Excellence for Each Student</w:t>
      </w:r>
    </w:p>
    <w:p w14:paraId="66FFDD3E" w14:textId="77777777" w:rsidR="00885CF5" w:rsidRDefault="00000000">
      <w:pPr>
        <w:spacing w:line="276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mallCaps/>
          <w:color w:val="C00000"/>
          <w:sz w:val="28"/>
          <w:szCs w:val="28"/>
        </w:rPr>
        <w:t>Unwrap a Standard:</w:t>
      </w:r>
      <w:r>
        <w:rPr>
          <w:rFonts w:ascii="Century Gothic" w:eastAsia="Century Gothic" w:hAnsi="Century Gothic" w:cs="Century Gothic"/>
          <w:b/>
          <w:i/>
          <w:smallCaps/>
          <w:color w:val="000000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i/>
          <w:smallCaps/>
          <w:color w:val="0432FF"/>
        </w:rPr>
        <w:t>What do students have to know and be able to do?</w:t>
      </w:r>
    </w:p>
    <w:p w14:paraId="00D77C81" w14:textId="793746C2" w:rsidR="00885CF5" w:rsidRPr="000B3AFF" w:rsidRDefault="000B3AFF" w:rsidP="000B3AFF">
      <w:pPr>
        <w:spacing w:line="276" w:lineRule="auto"/>
        <w:jc w:val="center"/>
        <w:rPr>
          <w:rFonts w:ascii="Century Gothic" w:eastAsia="Cambria" w:hAnsi="Century Gothic" w:cs="Cambria"/>
          <w:b/>
          <w:smallCaps/>
          <w:color w:val="7030A0"/>
          <w:sz w:val="28"/>
          <w:szCs w:val="28"/>
        </w:rPr>
      </w:pPr>
      <w:bookmarkStart w:id="0" w:name="_gjdgxs" w:colFirst="0" w:colLast="0"/>
      <w:bookmarkEnd w:id="0"/>
      <w:r w:rsidRPr="000B3AFF">
        <w:rPr>
          <w:rFonts w:ascii="Century Gothic" w:eastAsia="Cambria" w:hAnsi="Century Gothic" w:cs="Cambria"/>
          <w:b/>
          <w:smallCaps/>
          <w:color w:val="7030A0"/>
          <w:sz w:val="28"/>
          <w:szCs w:val="28"/>
        </w:rPr>
        <w:t>Where are we going?</w:t>
      </w:r>
    </w:p>
    <w:p w14:paraId="65D00055" w14:textId="77777777" w:rsidR="00885CF5" w:rsidRDefault="00000000">
      <w:pPr>
        <w:spacing w:line="276" w:lineRule="auto"/>
        <w:ind w:left="4320" w:hanging="43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Domain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:    </w:t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</w:p>
    <w:p w14:paraId="77A9A1CE" w14:textId="77777777" w:rsidR="00885CF5" w:rsidRDefault="00000000">
      <w:pPr>
        <w:spacing w:line="276" w:lineRule="auto"/>
        <w:ind w:left="4320" w:hanging="43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Domain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/Reporting Category Weight </w:t>
      </w:r>
      <w:r>
        <w:rPr>
          <w:rFonts w:ascii="Arial" w:eastAsia="Arial" w:hAnsi="Arial" w:cs="Arial"/>
          <w:color w:val="000000"/>
          <w:sz w:val="26"/>
          <w:szCs w:val="26"/>
        </w:rPr>
        <w:t>(if applicable)</w:t>
      </w:r>
      <w:r>
        <w:rPr>
          <w:rFonts w:ascii="Arial" w:eastAsia="Arial" w:hAnsi="Arial" w:cs="Arial"/>
          <w:b/>
          <w:color w:val="000000"/>
          <w:sz w:val="28"/>
          <w:szCs w:val="28"/>
        </w:rPr>
        <w:t>: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14:paraId="41B15AD7" w14:textId="77777777" w:rsidR="00885CF5" w:rsidRDefault="00885CF5">
      <w:pPr>
        <w:spacing w:line="276" w:lineRule="auto"/>
        <w:ind w:left="4320" w:hanging="4320"/>
        <w:rPr>
          <w:rFonts w:ascii="Century Gothic" w:eastAsia="Century Gothic" w:hAnsi="Century Gothic" w:cs="Century Gothic"/>
          <w:b/>
          <w:color w:val="000000"/>
          <w:sz w:val="15"/>
          <w:szCs w:val="15"/>
        </w:rPr>
      </w:pPr>
    </w:p>
    <w:p w14:paraId="4BF6BF73" w14:textId="77777777" w:rsidR="00885CF5" w:rsidRDefault="00000000">
      <w:pPr>
        <w:spacing w:line="276" w:lineRule="auto"/>
        <w:ind w:left="4320" w:hanging="4320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Standard: </w:t>
      </w:r>
    </w:p>
    <w:p w14:paraId="541B7458" w14:textId="77777777" w:rsidR="00885CF5" w:rsidRPr="00A95488" w:rsidRDefault="00885CF5">
      <w:pPr>
        <w:spacing w:line="276" w:lineRule="auto"/>
        <w:ind w:left="4320" w:hanging="4320"/>
        <w:rPr>
          <w:rFonts w:ascii="Century Gothic" w:eastAsia="Century Gothic" w:hAnsi="Century Gothic" w:cs="Century Gothic"/>
          <w:b/>
          <w:sz w:val="4"/>
          <w:szCs w:val="4"/>
        </w:rPr>
      </w:pPr>
    </w:p>
    <w:p w14:paraId="3C4B3E71" w14:textId="77777777" w:rsidR="00885CF5" w:rsidRDefault="00000000">
      <w:pPr>
        <w:spacing w:line="276" w:lineRule="auto"/>
        <w:ind w:left="4320" w:hanging="4320"/>
        <w:jc w:val="center"/>
        <w:rPr>
          <w:rFonts w:ascii="Century Gothic" w:eastAsia="Century Gothic" w:hAnsi="Century Gothic" w:cs="Century Gothic"/>
          <w:b/>
          <w:color w:val="C00000"/>
        </w:rPr>
      </w:pPr>
      <w:r>
        <w:rPr>
          <w:rFonts w:ascii="Century Gothic" w:eastAsia="Century Gothic" w:hAnsi="Century Gothic" w:cs="Century Gothic"/>
          <w:b/>
          <w:color w:val="C00000"/>
        </w:rPr>
        <w:t>Performance/Achievement Level Descriptors</w:t>
      </w:r>
    </w:p>
    <w:tbl>
      <w:tblPr>
        <w:tblStyle w:val="a"/>
        <w:tblW w:w="107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2700"/>
        <w:gridCol w:w="3027"/>
        <w:gridCol w:w="2750"/>
      </w:tblGrid>
      <w:tr w:rsidR="00885CF5" w14:paraId="5EF966DF" w14:textId="77777777">
        <w:trPr>
          <w:trHeight w:val="368"/>
        </w:trPr>
        <w:tc>
          <w:tcPr>
            <w:tcW w:w="2245" w:type="dxa"/>
            <w:shd w:val="clear" w:color="auto" w:fill="F2F2F2"/>
            <w:vAlign w:val="center"/>
          </w:tcPr>
          <w:p w14:paraId="2DA7532A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Emerging (1)</w:t>
            </w:r>
          </w:p>
        </w:tc>
        <w:tc>
          <w:tcPr>
            <w:tcW w:w="2700" w:type="dxa"/>
            <w:tcBorders>
              <w:right w:val="single" w:sz="24" w:space="0" w:color="000000"/>
            </w:tcBorders>
            <w:shd w:val="clear" w:color="auto" w:fill="F2F2F2"/>
            <w:vAlign w:val="center"/>
          </w:tcPr>
          <w:p w14:paraId="072E2B22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Developing (2)</w:t>
            </w:r>
          </w:p>
        </w:tc>
        <w:tc>
          <w:tcPr>
            <w:tcW w:w="3027" w:type="dxa"/>
            <w:tcBorders>
              <w:left w:val="single" w:sz="24" w:space="0" w:color="000000"/>
            </w:tcBorders>
            <w:shd w:val="clear" w:color="auto" w:fill="F2F2F2"/>
            <w:vAlign w:val="center"/>
          </w:tcPr>
          <w:p w14:paraId="113965A9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Proficient (3)</w:t>
            </w:r>
          </w:p>
        </w:tc>
        <w:tc>
          <w:tcPr>
            <w:tcW w:w="2750" w:type="dxa"/>
            <w:shd w:val="clear" w:color="auto" w:fill="F2F2F2"/>
            <w:vAlign w:val="center"/>
          </w:tcPr>
          <w:p w14:paraId="61FDC19C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Distinguished (4)</w:t>
            </w:r>
          </w:p>
        </w:tc>
      </w:tr>
      <w:tr w:rsidR="00885CF5" w14:paraId="1E63C11B" w14:textId="77777777">
        <w:trPr>
          <w:trHeight w:val="515"/>
        </w:trPr>
        <w:tc>
          <w:tcPr>
            <w:tcW w:w="2245" w:type="dxa"/>
          </w:tcPr>
          <w:p w14:paraId="20EC53C1" w14:textId="77777777" w:rsidR="00885CF5" w:rsidRDefault="0088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right w:val="single" w:sz="24" w:space="0" w:color="000000"/>
            </w:tcBorders>
          </w:tcPr>
          <w:p w14:paraId="2555C551" w14:textId="77777777" w:rsidR="00885CF5" w:rsidRDefault="0088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6"/>
                <w:szCs w:val="26"/>
              </w:rPr>
            </w:pPr>
          </w:p>
        </w:tc>
        <w:tc>
          <w:tcPr>
            <w:tcW w:w="3027" w:type="dxa"/>
            <w:tcBorders>
              <w:left w:val="single" w:sz="24" w:space="0" w:color="000000"/>
            </w:tcBorders>
          </w:tcPr>
          <w:p w14:paraId="667F82B9" w14:textId="77777777" w:rsidR="00885CF5" w:rsidRDefault="0088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6"/>
                <w:szCs w:val="26"/>
              </w:rPr>
            </w:pPr>
          </w:p>
        </w:tc>
        <w:tc>
          <w:tcPr>
            <w:tcW w:w="2750" w:type="dxa"/>
          </w:tcPr>
          <w:p w14:paraId="44C6EC4B" w14:textId="77777777" w:rsidR="00885CF5" w:rsidRDefault="0088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6"/>
                <w:szCs w:val="26"/>
              </w:rPr>
            </w:pPr>
          </w:p>
        </w:tc>
      </w:tr>
    </w:tbl>
    <w:p w14:paraId="6E734163" w14:textId="58A51F78" w:rsidR="00885CF5" w:rsidRPr="008C0B80" w:rsidRDefault="00000000" w:rsidP="008C0B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C00000"/>
          <w:sz w:val="20"/>
          <w:szCs w:val="20"/>
        </w:rPr>
        <w:t xml:space="preserve"> </w:t>
      </w:r>
    </w:p>
    <w:tbl>
      <w:tblPr>
        <w:tblStyle w:val="a0"/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885CF5" w14:paraId="6C291896" w14:textId="77777777" w:rsidTr="008C0B80">
        <w:trPr>
          <w:trHeight w:val="800"/>
        </w:trPr>
        <w:tc>
          <w:tcPr>
            <w:tcW w:w="10790" w:type="dxa"/>
            <w:shd w:val="clear" w:color="auto" w:fill="F2F2F2"/>
          </w:tcPr>
          <w:p w14:paraId="5C4FA341" w14:textId="77777777" w:rsidR="008C0B80" w:rsidRDefault="00000000" w:rsidP="008C0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b/>
                <w:smallCaps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</w:rPr>
              <w:t>Building Background Knowledge and skills</w:t>
            </w:r>
            <w:r>
              <w:rPr>
                <w:rFonts w:ascii="Arial" w:eastAsia="Arial" w:hAnsi="Arial" w:cs="Arial"/>
                <w:b/>
                <w:smallCaps/>
                <w:color w:val="C00000"/>
              </w:rPr>
              <w:t>:  Flashback Standard</w:t>
            </w:r>
          </w:p>
          <w:p w14:paraId="60BA750B" w14:textId="1B9FCB86" w:rsidR="00885CF5" w:rsidRDefault="00000000" w:rsidP="008C0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>Standard:</w:t>
            </w:r>
          </w:p>
        </w:tc>
      </w:tr>
    </w:tbl>
    <w:p w14:paraId="7FA11A6A" w14:textId="77777777" w:rsidR="00885C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1F3762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CFB8704" wp14:editId="7C5C9AA8">
                <wp:simplePos x="0" y="0"/>
                <wp:positionH relativeFrom="column">
                  <wp:posOffset>-81419</wp:posOffset>
                </wp:positionH>
                <wp:positionV relativeFrom="paragraph">
                  <wp:posOffset>80697</wp:posOffset>
                </wp:positionV>
                <wp:extent cx="6845935" cy="588723"/>
                <wp:effectExtent l="0" t="0" r="12065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58872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FE8E66" w14:textId="77777777" w:rsidR="00885CF5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</w:rPr>
                              <w:t xml:space="preserve">Extending Knowledge and skills: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C00000"/>
                              </w:rPr>
                              <w:t>Preview Standard</w:t>
                            </w:r>
                          </w:p>
                          <w:p w14:paraId="48A9984D" w14:textId="77777777" w:rsidR="00885CF5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8"/>
                              </w:rPr>
                              <w:t>Standard:</w:t>
                            </w:r>
                          </w:p>
                          <w:p w14:paraId="2D44931F" w14:textId="77777777" w:rsidR="00885CF5" w:rsidRDefault="00885C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B8704" id="Rectangle 1" o:spid="_x0000_s1026" style="position:absolute;left:0;text-align:left;margin-left:-6.4pt;margin-top:6.35pt;width:539.05pt;height:4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M2JDAIAADMEAAAOAAAAZHJzL2Uyb0RvYy54bWysU2Fv2jAQ/T5p/8Hy95GQQksjQjWVMU2q&#13;&#10;NqSuP+BwHGLJsT2fIeHf72wY0G1SpWkgOefc5d27d3fzh6HTbC89KmsqPh7lnEkjbK3MtuIv31cf&#13;&#10;ZpxhAFODtkZW/CCRPyzev5v3rpSFba2upWcEYrDsXcXbEFyZZSha2QGOrJOGnI31HQS6+m1We+gJ&#13;&#10;vdNZkee3WW997bwVEpHeLo9Ovkj4TSNF+NY0KAPTFSduIZ0+nZt4Zos5lFsPrlXiRAP+gUUHylDS&#13;&#10;M9QSArCdV39AdUp4i7YJI2G7zDaNEjLVQNWM89+qeW7ByVQLiYPuLBP+P1jxdf/s1p5k6B2WSGas&#13;&#10;Ymh8F5/Ejw1JrMNZLDkEJujl7Wwyvb+ZcibIN53N7oqbqGZ2+dp5DJ+l7Vg0Ku6pGUkj2D9hOIb+&#13;&#10;ConJ0GpVr5TW6eK3m0ft2R6ocasi/k/or8K0YT2NXXGXU3MF0AA1GgKZnasrjmabEr76BK+R8/T7&#13;&#10;G3JktgRsjwwSQgyD0tudqZPVSqg/mZqFg6PJNjTfPLLBjjMtaRvISHEBlH47joTThvS79CFaYdgM&#13;&#10;BBLNja0Pa8/QiZUick+AYQ2epnVMaWmCKeGPHXgiob8YGpH78aSg9oR0mUyTRP7as7n2gBGtpcUg&#13;&#10;8Y7mY0hrEks29uMu2Ealpl2onMjSZKa2n7Yojv71PUVddn3xEwAA//8DAFBLAwQUAAYACAAAACEA&#13;&#10;JjW7m+QAAAAQAQAADwAAAGRycy9kb3ducmV2LnhtbEyPQU/DMAyF70j8h8hIXNCWLmxl6ppOCLQd&#13;&#10;BxtIXNPGawtNUjXZFv793BNcLFvPfv5evo6mY2ccfOushNk0AYa2crq1tYTPj81kCcwHZbXqnEUJ&#13;&#10;v+hhXdze5CrT7mL3eD6EmpGJ9ZmS0ITQZ5z7qkGj/NT1aEk7usGoQONQcz2oC5mbjoskSblRraUP&#13;&#10;jerxpcHq53AyEvCh/P7aiqNepu/irdpt9nE7j1Le38XXFZXnFbCAMfxdwJiB+KEgsNKdrPaskzCZ&#13;&#10;CeIPJIgnYONCki4egZVjt5gDL3L+P0hxBQAA//8DAFBLAQItABQABgAIAAAAIQC2gziS/gAAAOEB&#13;&#10;AAATAAAAAAAAAAAAAAAAAAAAAABbQ29udGVudF9UeXBlc10ueG1sUEsBAi0AFAAGAAgAAAAhADj9&#13;&#10;If/WAAAAlAEAAAsAAAAAAAAAAAAAAAAALwEAAF9yZWxzLy5yZWxzUEsBAi0AFAAGAAgAAAAhAIxg&#13;&#10;zYkMAgAAMwQAAA4AAAAAAAAAAAAAAAAALgIAAGRycy9lMm9Eb2MueG1sUEsBAi0AFAAGAAgAAAAh&#13;&#10;ACY1u5vkAAAAEAEAAA8AAAAAAAAAAAAAAAAAZgQAAGRycy9kb3ducmV2LnhtbFBLBQYAAAAABAAE&#13;&#10;APMAAAB3BQAAAAA=&#13;&#10;" fillcolor="#f2f2f2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8FE8E66" w14:textId="77777777" w:rsidR="00885CF5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000000"/>
                        </w:rPr>
                        <w:t xml:space="preserve">Extending Knowledge and skills: </w:t>
                      </w: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C00000"/>
                        </w:rPr>
                        <w:t>Preview Standard</w:t>
                      </w:r>
                    </w:p>
                    <w:p w14:paraId="48A9984D" w14:textId="77777777" w:rsidR="00885CF5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8"/>
                        </w:rPr>
                        <w:t>Standard:</w:t>
                      </w:r>
                    </w:p>
                    <w:p w14:paraId="2D44931F" w14:textId="77777777" w:rsidR="00885CF5" w:rsidRDefault="00885CF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27F5250" w14:textId="77777777" w:rsidR="00885CF5" w:rsidRDefault="00885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1F3762"/>
        </w:rPr>
      </w:pPr>
    </w:p>
    <w:p w14:paraId="4985A001" w14:textId="77777777" w:rsidR="00885CF5" w:rsidRDefault="00885CF5">
      <w:pPr>
        <w:rPr>
          <w:rFonts w:ascii="Comic Sans MS" w:eastAsia="Comic Sans MS" w:hAnsi="Comic Sans MS" w:cs="Comic Sans MS"/>
          <w:b/>
          <w:color w:val="0432FF"/>
          <w:sz w:val="28"/>
          <w:szCs w:val="28"/>
        </w:rPr>
      </w:pPr>
    </w:p>
    <w:p w14:paraId="26581125" w14:textId="77777777" w:rsidR="00885CF5" w:rsidRDefault="00885CF5">
      <w:pPr>
        <w:rPr>
          <w:rFonts w:ascii="Comic Sans MS" w:eastAsia="Comic Sans MS" w:hAnsi="Comic Sans MS" w:cs="Comic Sans MS"/>
          <w:b/>
          <w:color w:val="0432FF"/>
          <w:sz w:val="14"/>
          <w:szCs w:val="14"/>
        </w:rPr>
      </w:pPr>
    </w:p>
    <w:p w14:paraId="1B96768F" w14:textId="77777777" w:rsidR="00885CF5" w:rsidRDefault="00885CF5">
      <w:pPr>
        <w:rPr>
          <w:rFonts w:ascii="Comic Sans MS" w:eastAsia="Comic Sans MS" w:hAnsi="Comic Sans MS" w:cs="Comic Sans MS"/>
          <w:b/>
          <w:color w:val="0432FF"/>
          <w:sz w:val="13"/>
          <w:szCs w:val="13"/>
        </w:rPr>
      </w:pPr>
    </w:p>
    <w:p w14:paraId="53A84CD2" w14:textId="77777777" w:rsidR="00885CF5" w:rsidRDefault="00885CF5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tbl>
      <w:tblPr>
        <w:tblStyle w:val="a1"/>
        <w:tblW w:w="107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5"/>
        <w:gridCol w:w="5153"/>
      </w:tblGrid>
      <w:tr w:rsidR="00885CF5" w14:paraId="5CDDD2B3" w14:textId="77777777" w:rsidTr="008C0B80">
        <w:trPr>
          <w:trHeight w:val="1007"/>
        </w:trPr>
        <w:tc>
          <w:tcPr>
            <w:tcW w:w="5575" w:type="dxa"/>
            <w:vMerge w:val="restart"/>
          </w:tcPr>
          <w:p w14:paraId="7A97F82A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Knowledge/Concepts</w:t>
            </w:r>
          </w:p>
          <w:p w14:paraId="33186855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 w:rsidRPr="000B3AFF">
              <w:rPr>
                <w:rFonts w:ascii="Century Gothic" w:eastAsia="Century Gothic" w:hAnsi="Century Gothic" w:cs="Century Gothic"/>
                <w:b/>
                <w:i/>
                <w:color w:val="0000CC"/>
                <w:sz w:val="20"/>
                <w:szCs w:val="20"/>
              </w:rPr>
              <w:t>What Do Students Need to Know/Understand</w:t>
            </w: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?</w:t>
            </w:r>
          </w:p>
          <w:p w14:paraId="4A674F22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 the underlined nouns.</w:t>
            </w:r>
          </w:p>
          <w:p w14:paraId="7853A56A" w14:textId="77777777" w:rsidR="00885CF5" w:rsidRDefault="00885CF5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3BFDBA16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Skills</w:t>
            </w:r>
          </w:p>
          <w:p w14:paraId="0FD8AB19" w14:textId="77777777" w:rsidR="00885CF5" w:rsidRPr="000B3AFF" w:rsidRDefault="00000000">
            <w:pPr>
              <w:rPr>
                <w:rFonts w:ascii="Century Gothic" w:eastAsia="Century Gothic" w:hAnsi="Century Gothic" w:cs="Century Gothic"/>
                <w:b/>
                <w:i/>
                <w:color w:val="0000CC"/>
                <w:sz w:val="20"/>
                <w:szCs w:val="20"/>
              </w:rPr>
            </w:pPr>
            <w:r w:rsidRPr="000B3AFF">
              <w:rPr>
                <w:rFonts w:ascii="Century Gothic" w:eastAsia="Century Gothic" w:hAnsi="Century Gothic" w:cs="Century Gothic"/>
                <w:b/>
                <w:i/>
                <w:color w:val="0000CC"/>
                <w:sz w:val="20"/>
                <w:szCs w:val="20"/>
              </w:rPr>
              <w:t>What Do Students Need to Be Able to Do?</w:t>
            </w:r>
          </w:p>
          <w:p w14:paraId="06288E0A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 the circled (or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italicized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) verbs.</w:t>
            </w:r>
          </w:p>
        </w:tc>
      </w:tr>
      <w:tr w:rsidR="00885CF5" w14:paraId="4F3B71CA" w14:textId="77777777">
        <w:trPr>
          <w:trHeight w:val="971"/>
        </w:trPr>
        <w:tc>
          <w:tcPr>
            <w:tcW w:w="5575" w:type="dxa"/>
            <w:vMerge/>
          </w:tcPr>
          <w:p w14:paraId="44E8F84A" w14:textId="77777777" w:rsidR="00885CF5" w:rsidRDefault="0088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388A11DD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 xml:space="preserve">DOK Level </w:t>
            </w:r>
          </w:p>
          <w:p w14:paraId="23DC231A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Level of content complexity rather than content difficulty.</w:t>
            </w:r>
          </w:p>
        </w:tc>
      </w:tr>
      <w:tr w:rsidR="00885CF5" w14:paraId="206B9EB6" w14:textId="77777777" w:rsidTr="008C0B80">
        <w:trPr>
          <w:trHeight w:val="989"/>
        </w:trPr>
        <w:tc>
          <w:tcPr>
            <w:tcW w:w="5575" w:type="dxa"/>
          </w:tcPr>
          <w:p w14:paraId="368927F4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WONDER Questions</w:t>
            </w:r>
          </w:p>
          <w:p w14:paraId="46CE7FC0" w14:textId="77777777" w:rsidR="00885CF5" w:rsidRPr="000B3AFF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0"/>
                <w:szCs w:val="20"/>
              </w:rPr>
            </w:pPr>
            <w:r w:rsidRPr="000B3AFF">
              <w:rPr>
                <w:rFonts w:ascii="Century Gothic" w:eastAsia="Century Gothic" w:hAnsi="Century Gothic" w:cs="Century Gothic"/>
                <w:b/>
                <w:i/>
                <w:color w:val="0000CC"/>
                <w:sz w:val="20"/>
                <w:szCs w:val="20"/>
              </w:rPr>
              <w:t>How can we capture student wonder?</w:t>
            </w:r>
          </w:p>
          <w:p w14:paraId="7B07C6DB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*Including open-ended and ‘second’ questions</w:t>
            </w:r>
          </w:p>
          <w:p w14:paraId="7464C527" w14:textId="77777777" w:rsidR="00885CF5" w:rsidRDefault="00885CF5" w:rsidP="008C0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5153" w:type="dxa"/>
          </w:tcPr>
          <w:p w14:paraId="58EC6446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Vocabulary</w:t>
            </w:r>
          </w:p>
          <w:p w14:paraId="7FCFBC0D" w14:textId="77777777" w:rsidR="00885CF5" w:rsidRPr="000B3AFF" w:rsidRDefault="00000000">
            <w:pPr>
              <w:rPr>
                <w:rFonts w:ascii="Century Gothic" w:eastAsia="Century Gothic" w:hAnsi="Century Gothic" w:cs="Century Gothic"/>
                <w:b/>
                <w:i/>
                <w:color w:val="0000CC"/>
                <w:sz w:val="20"/>
                <w:szCs w:val="20"/>
              </w:rPr>
            </w:pPr>
            <w:r w:rsidRPr="000B3AFF">
              <w:rPr>
                <w:rFonts w:ascii="Century Gothic" w:eastAsia="Century Gothic" w:hAnsi="Century Gothic" w:cs="Century Gothic"/>
                <w:b/>
                <w:i/>
                <w:color w:val="0000CC"/>
                <w:sz w:val="20"/>
                <w:szCs w:val="20"/>
              </w:rPr>
              <w:t>What Do Students Need to Comprehend?</w:t>
            </w:r>
          </w:p>
          <w:p w14:paraId="5F6E2AC5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List all key vocabulary </w:t>
            </w:r>
          </w:p>
        </w:tc>
      </w:tr>
      <w:tr w:rsidR="00885CF5" w14:paraId="1885A353" w14:textId="77777777" w:rsidTr="008C0B80">
        <w:trPr>
          <w:trHeight w:val="1025"/>
        </w:trPr>
        <w:tc>
          <w:tcPr>
            <w:tcW w:w="10728" w:type="dxa"/>
            <w:gridSpan w:val="2"/>
          </w:tcPr>
          <w:p w14:paraId="5BB4691C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Learning Objectives aligned to the Standard</w:t>
            </w:r>
          </w:p>
          <w:p w14:paraId="33312B78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  <w:sz w:val="20"/>
                <w:szCs w:val="20"/>
              </w:rPr>
            </w:pPr>
            <w:r w:rsidRPr="000B3AFF">
              <w:rPr>
                <w:rFonts w:ascii="Century Gothic" w:eastAsia="Century Gothic" w:hAnsi="Century Gothic" w:cs="Century Gothic"/>
                <w:b/>
                <w:i/>
                <w:color w:val="0000CC"/>
                <w:sz w:val="20"/>
                <w:szCs w:val="20"/>
              </w:rPr>
              <w:t>What are the Learning Intentions and Success Criteria that will guide student progress?</w:t>
            </w:r>
          </w:p>
          <w:p w14:paraId="7F8F35B5" w14:textId="78DADCA7" w:rsidR="000B3AFF" w:rsidRPr="008C0B80" w:rsidRDefault="000B3AFF" w:rsidP="008C0B80">
            <w:pPr>
              <w:spacing w:line="276" w:lineRule="auto"/>
              <w:jc w:val="center"/>
              <w:rPr>
                <w:rFonts w:ascii="Century Gothic" w:eastAsia="Cambria" w:hAnsi="Century Gothic" w:cs="Cambria"/>
                <w:b/>
                <w:smallCaps/>
                <w:color w:val="7030A0"/>
                <w:sz w:val="28"/>
                <w:szCs w:val="28"/>
              </w:rPr>
            </w:pPr>
            <w:r w:rsidRPr="000B3AFF">
              <w:rPr>
                <w:rFonts w:ascii="Century Gothic" w:eastAsia="Cambria" w:hAnsi="Century Gothic" w:cs="Cambria"/>
                <w:b/>
                <w:smallCaps/>
                <w:color w:val="7030A0"/>
                <w:sz w:val="28"/>
                <w:szCs w:val="28"/>
              </w:rPr>
              <w:t>Wh</w:t>
            </w:r>
            <w:r>
              <w:rPr>
                <w:rFonts w:ascii="Century Gothic" w:eastAsia="Cambria" w:hAnsi="Century Gothic" w:cs="Cambria"/>
                <w:b/>
                <w:smallCaps/>
                <w:color w:val="7030A0"/>
                <w:sz w:val="28"/>
                <w:szCs w:val="28"/>
              </w:rPr>
              <w:t>at did we learn today</w:t>
            </w:r>
            <w:r w:rsidRPr="000B3AFF">
              <w:rPr>
                <w:rFonts w:ascii="Century Gothic" w:eastAsia="Cambria" w:hAnsi="Century Gothic" w:cs="Cambria"/>
                <w:b/>
                <w:smallCaps/>
                <w:color w:val="7030A0"/>
                <w:sz w:val="28"/>
                <w:szCs w:val="28"/>
              </w:rPr>
              <w:t>?</w:t>
            </w:r>
          </w:p>
          <w:p w14:paraId="005D5B56" w14:textId="77777777" w:rsidR="00885CF5" w:rsidRDefault="00885CF5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</w:tc>
      </w:tr>
      <w:tr w:rsidR="00885CF5" w14:paraId="4955DA31" w14:textId="77777777" w:rsidTr="008C0B80">
        <w:trPr>
          <w:trHeight w:val="1250"/>
        </w:trPr>
        <w:tc>
          <w:tcPr>
            <w:tcW w:w="10728" w:type="dxa"/>
            <w:gridSpan w:val="2"/>
          </w:tcPr>
          <w:p w14:paraId="59D759A7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Evidence of Student Mastery?</w:t>
            </w:r>
          </w:p>
          <w:p w14:paraId="35975436" w14:textId="77777777" w:rsidR="00885CF5" w:rsidRPr="000B3AFF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  <w:sz w:val="20"/>
                <w:szCs w:val="20"/>
              </w:rPr>
            </w:pPr>
            <w:r w:rsidRPr="000B3AFF">
              <w:rPr>
                <w:rFonts w:ascii="Century Gothic" w:eastAsia="Century Gothic" w:hAnsi="Century Gothic" w:cs="Century Gothic"/>
                <w:b/>
                <w:i/>
                <w:color w:val="0000CC"/>
                <w:sz w:val="20"/>
                <w:szCs w:val="20"/>
              </w:rPr>
              <w:t>How will we know when they know it?</w:t>
            </w:r>
          </w:p>
          <w:p w14:paraId="098660EE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  <w:sz w:val="20"/>
                <w:szCs w:val="20"/>
              </w:rPr>
            </w:pPr>
            <w:r w:rsidRPr="000B3AFF">
              <w:rPr>
                <w:rFonts w:ascii="Century Gothic" w:eastAsia="Century Gothic" w:hAnsi="Century Gothic" w:cs="Century Gothic"/>
                <w:b/>
                <w:i/>
                <w:color w:val="0000CC"/>
                <w:sz w:val="20"/>
                <w:szCs w:val="20"/>
              </w:rPr>
              <w:t>How will we encourage each student to try?</w:t>
            </w:r>
          </w:p>
          <w:p w14:paraId="03413E9D" w14:textId="091767AF" w:rsidR="00885CF5" w:rsidRPr="008C0B80" w:rsidRDefault="000B3AFF" w:rsidP="008C0B80">
            <w:pPr>
              <w:spacing w:line="276" w:lineRule="auto"/>
              <w:jc w:val="center"/>
              <w:rPr>
                <w:rFonts w:ascii="Century Gothic" w:eastAsia="Cambria" w:hAnsi="Century Gothic" w:cs="Cambria"/>
                <w:b/>
                <w:smallCaps/>
                <w:color w:val="7030A0"/>
                <w:sz w:val="28"/>
                <w:szCs w:val="28"/>
              </w:rPr>
            </w:pPr>
            <w:r w:rsidRPr="000B3AFF">
              <w:rPr>
                <w:rFonts w:ascii="Century Gothic" w:eastAsia="Cambria" w:hAnsi="Century Gothic" w:cs="Cambria"/>
                <w:b/>
                <w:smallCaps/>
                <w:color w:val="7030A0"/>
                <w:sz w:val="28"/>
                <w:szCs w:val="28"/>
              </w:rPr>
              <w:t xml:space="preserve">Where are we </w:t>
            </w:r>
            <w:r>
              <w:rPr>
                <w:rFonts w:ascii="Century Gothic" w:eastAsia="Cambria" w:hAnsi="Century Gothic" w:cs="Cambria"/>
                <w:b/>
                <w:smallCaps/>
                <w:color w:val="7030A0"/>
                <w:sz w:val="28"/>
                <w:szCs w:val="28"/>
              </w:rPr>
              <w:t>now</w:t>
            </w:r>
            <w:r w:rsidRPr="000B3AFF">
              <w:rPr>
                <w:rFonts w:ascii="Century Gothic" w:eastAsia="Cambria" w:hAnsi="Century Gothic" w:cs="Cambria"/>
                <w:b/>
                <w:smallCaps/>
                <w:color w:val="7030A0"/>
                <w:sz w:val="28"/>
                <w:szCs w:val="28"/>
              </w:rPr>
              <w:t>?</w:t>
            </w:r>
          </w:p>
          <w:p w14:paraId="55521754" w14:textId="77777777" w:rsidR="00885CF5" w:rsidRDefault="00885CF5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</w:tc>
      </w:tr>
      <w:tr w:rsidR="00885CF5" w14:paraId="0358359F" w14:textId="77777777" w:rsidTr="008C0B80">
        <w:trPr>
          <w:trHeight w:val="1133"/>
        </w:trPr>
        <w:tc>
          <w:tcPr>
            <w:tcW w:w="10728" w:type="dxa"/>
            <w:gridSpan w:val="2"/>
          </w:tcPr>
          <w:p w14:paraId="7DA05A1F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 xml:space="preserve"> Specific Instructional Framework?</w:t>
            </w:r>
          </w:p>
          <w:p w14:paraId="0BAE4CAE" w14:textId="77777777" w:rsidR="00885CF5" w:rsidRPr="000B3AFF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  <w:sz w:val="20"/>
                <w:szCs w:val="20"/>
              </w:rPr>
            </w:pPr>
            <w:r w:rsidRPr="000B3AFF">
              <w:rPr>
                <w:rFonts w:ascii="Century Gothic" w:eastAsia="Century Gothic" w:hAnsi="Century Gothic" w:cs="Century Gothic"/>
                <w:b/>
                <w:i/>
                <w:color w:val="0000CC"/>
                <w:sz w:val="20"/>
                <w:szCs w:val="20"/>
              </w:rPr>
              <w:t>What will we do to help them know/understand/can do it?</w:t>
            </w:r>
          </w:p>
          <w:p w14:paraId="457A63EC" w14:textId="66A90110" w:rsidR="000B3AFF" w:rsidRPr="008C0B80" w:rsidRDefault="000B3AFF" w:rsidP="008C0B80">
            <w:pPr>
              <w:spacing w:line="276" w:lineRule="auto"/>
              <w:jc w:val="center"/>
              <w:rPr>
                <w:rFonts w:ascii="Century Gothic" w:eastAsia="Cambria" w:hAnsi="Century Gothic" w:cs="Cambria"/>
                <w:b/>
                <w:smallCaps/>
                <w:color w:val="7030A0"/>
                <w:sz w:val="28"/>
                <w:szCs w:val="28"/>
              </w:rPr>
            </w:pPr>
            <w:r>
              <w:rPr>
                <w:rFonts w:ascii="Century Gothic" w:eastAsia="Cambria" w:hAnsi="Century Gothic" w:cs="Cambria"/>
                <w:b/>
                <w:smallCaps/>
                <w:color w:val="7030A0"/>
                <w:sz w:val="28"/>
                <w:szCs w:val="28"/>
              </w:rPr>
              <w:t>How do we move learning forward</w:t>
            </w:r>
            <w:r w:rsidRPr="000B3AFF">
              <w:rPr>
                <w:rFonts w:ascii="Century Gothic" w:eastAsia="Cambria" w:hAnsi="Century Gothic" w:cs="Cambria"/>
                <w:b/>
                <w:smallCaps/>
                <w:color w:val="7030A0"/>
                <w:sz w:val="28"/>
                <w:szCs w:val="28"/>
              </w:rPr>
              <w:t>?</w:t>
            </w:r>
          </w:p>
        </w:tc>
      </w:tr>
      <w:tr w:rsidR="000B3AFF" w14:paraId="67030529" w14:textId="77777777" w:rsidTr="008C0B80">
        <w:trPr>
          <w:trHeight w:val="1331"/>
        </w:trPr>
        <w:tc>
          <w:tcPr>
            <w:tcW w:w="10728" w:type="dxa"/>
            <w:gridSpan w:val="2"/>
          </w:tcPr>
          <w:p w14:paraId="1A4119A5" w14:textId="77777777" w:rsidR="000B3AFF" w:rsidRDefault="008C0B80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Additional Support and Extension</w:t>
            </w:r>
          </w:p>
          <w:p w14:paraId="4E818B55" w14:textId="77777777" w:rsidR="008C0B80" w:rsidRPr="000B3AFF" w:rsidRDefault="008C0B80" w:rsidP="008C0B8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  <w:sz w:val="20"/>
                <w:szCs w:val="20"/>
              </w:rPr>
            </w:pPr>
            <w:r w:rsidRPr="000B3AFF">
              <w:rPr>
                <w:rFonts w:ascii="Century Gothic" w:eastAsia="Century Gothic" w:hAnsi="Century Gothic" w:cs="Century Gothic"/>
                <w:b/>
                <w:i/>
                <w:color w:val="0000CC"/>
                <w:sz w:val="20"/>
                <w:szCs w:val="20"/>
              </w:rPr>
              <w:t>What will we do for students who still don’t know it?</w:t>
            </w:r>
          </w:p>
          <w:p w14:paraId="5ACB2527" w14:textId="77777777" w:rsidR="008C0B80" w:rsidRDefault="008C0B80" w:rsidP="008C0B8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  <w:sz w:val="20"/>
                <w:szCs w:val="20"/>
              </w:rPr>
            </w:pPr>
            <w:r w:rsidRPr="000B3AFF">
              <w:rPr>
                <w:rFonts w:ascii="Century Gothic" w:eastAsia="Century Gothic" w:hAnsi="Century Gothic" w:cs="Century Gothic"/>
                <w:b/>
                <w:i/>
                <w:color w:val="0000CC"/>
                <w:sz w:val="20"/>
                <w:szCs w:val="20"/>
              </w:rPr>
              <w:t>What will we do for students who already know it?</w:t>
            </w:r>
          </w:p>
          <w:p w14:paraId="1742A7D2" w14:textId="58B49F6A" w:rsidR="008C0B80" w:rsidRPr="000B3AFF" w:rsidRDefault="008C0B80" w:rsidP="008C0B80">
            <w:pPr>
              <w:spacing w:line="276" w:lineRule="auto"/>
              <w:jc w:val="center"/>
              <w:rPr>
                <w:rFonts w:ascii="Century Gothic" w:eastAsia="Cambria" w:hAnsi="Century Gothic" w:cs="Cambria"/>
                <w:b/>
                <w:smallCaps/>
                <w:color w:val="7030A0"/>
                <w:sz w:val="28"/>
                <w:szCs w:val="28"/>
              </w:rPr>
            </w:pPr>
            <w:r>
              <w:rPr>
                <w:rFonts w:ascii="Century Gothic" w:eastAsia="Cambria" w:hAnsi="Century Gothic" w:cs="Cambria"/>
                <w:b/>
                <w:smallCaps/>
                <w:color w:val="7030A0"/>
                <w:sz w:val="28"/>
                <w:szCs w:val="28"/>
              </w:rPr>
              <w:t>Who benefited and who did not</w:t>
            </w:r>
            <w:r w:rsidRPr="000B3AFF">
              <w:rPr>
                <w:rFonts w:ascii="Century Gothic" w:eastAsia="Cambria" w:hAnsi="Century Gothic" w:cs="Cambria"/>
                <w:b/>
                <w:smallCaps/>
                <w:color w:val="7030A0"/>
                <w:sz w:val="28"/>
                <w:szCs w:val="28"/>
              </w:rPr>
              <w:t>?</w:t>
            </w:r>
          </w:p>
          <w:p w14:paraId="4C9E111B" w14:textId="2B88A131" w:rsidR="008C0B80" w:rsidRPr="008C0B80" w:rsidRDefault="008C0B80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10"/>
                <w:szCs w:val="10"/>
              </w:rPr>
            </w:pPr>
          </w:p>
        </w:tc>
      </w:tr>
    </w:tbl>
    <w:p w14:paraId="6A0DC2EA" w14:textId="77777777" w:rsidR="00885CF5" w:rsidRDefault="00885CF5">
      <w:pPr>
        <w:rPr>
          <w:sz w:val="4"/>
          <w:szCs w:val="4"/>
        </w:rPr>
      </w:pPr>
    </w:p>
    <w:sectPr w:rsidR="00885CF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65C36"/>
    <w:multiLevelType w:val="multilevel"/>
    <w:tmpl w:val="B2340A8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5370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F5"/>
    <w:rsid w:val="000B3AFF"/>
    <w:rsid w:val="00885CF5"/>
    <w:rsid w:val="008C0B80"/>
    <w:rsid w:val="00954D7C"/>
    <w:rsid w:val="00A95488"/>
    <w:rsid w:val="00C0233B"/>
    <w:rsid w:val="00C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69CB6"/>
  <w15:docId w15:val="{6B332B73-09AB-224A-8634-BA159F5C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Mulligan</cp:lastModifiedBy>
  <cp:revision>2</cp:revision>
  <dcterms:created xsi:type="dcterms:W3CDTF">2024-07-22T22:35:00Z</dcterms:created>
  <dcterms:modified xsi:type="dcterms:W3CDTF">2024-07-22T22:35:00Z</dcterms:modified>
</cp:coreProperties>
</file>